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72D0" w14:textId="77777777" w:rsidR="004135F3" w:rsidRDefault="00B812E5">
      <w:pPr>
        <w:widowControl w:val="0"/>
        <w:spacing w:before="1" w:after="0" w:line="240" w:lineRule="auto"/>
        <w:ind w:left="2955" w:right="-1"/>
        <w:jc w:val="right"/>
        <w:rPr>
          <w:rFonts w:ascii="Times New Roman" w:eastAsia="Calibri" w:hAnsi="Times New Roman" w:cs="Times New Roman"/>
          <w:sz w:val="28"/>
          <w:szCs w:val="28"/>
        </w:rPr>
      </w:pPr>
      <w:r>
        <w:rPr>
          <w:rFonts w:ascii="Times New Roman" w:eastAsia="Calibri" w:hAnsi="Times New Roman" w:cs="Times New Roman"/>
          <w:sz w:val="28"/>
          <w:szCs w:val="28"/>
        </w:rPr>
        <w:t>Кикнадзе В.Г.,</w:t>
      </w:r>
    </w:p>
    <w:p w14:paraId="27FB9791" w14:textId="77777777" w:rsidR="004135F3" w:rsidRDefault="00B812E5">
      <w:pPr>
        <w:widowControl w:val="0"/>
        <w:spacing w:before="1" w:after="0" w:line="240" w:lineRule="auto"/>
        <w:ind w:left="2955" w:right="-1"/>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студент,</w:t>
      </w:r>
    </w:p>
    <w:p w14:paraId="79F24ED8" w14:textId="3997C8A2" w:rsidR="004135F3" w:rsidRDefault="00B812E5">
      <w:pPr>
        <w:widowControl w:val="0"/>
        <w:spacing w:before="1" w:after="0" w:line="240" w:lineRule="auto"/>
        <w:ind w:right="-1"/>
        <w:jc w:val="right"/>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Российская  академия</w:t>
      </w:r>
      <w:proofErr w:type="gramEnd"/>
      <w:r>
        <w:rPr>
          <w:rFonts w:ascii="Times New Roman" w:eastAsia="Calibri" w:hAnsi="Times New Roman" w:cs="Times New Roman"/>
          <w:sz w:val="28"/>
          <w:szCs w:val="28"/>
        </w:rPr>
        <w:t xml:space="preserve"> народного хозяйства и </w:t>
      </w:r>
    </w:p>
    <w:p w14:paraId="5FC7A502" w14:textId="7A737052" w:rsidR="004135F3" w:rsidRDefault="00B812E5">
      <w:pPr>
        <w:widowControl w:val="0"/>
        <w:spacing w:before="1" w:after="0" w:line="240" w:lineRule="auto"/>
        <w:ind w:right="-1"/>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государственной службы при Президенте Российской Федерации, </w:t>
      </w:r>
    </w:p>
    <w:p w14:paraId="09123757" w14:textId="226F8706" w:rsidR="004135F3" w:rsidRDefault="00B812E5">
      <w:pPr>
        <w:spacing w:after="0" w:line="240" w:lineRule="auto"/>
        <w:ind w:firstLine="567"/>
        <w:jc w:val="right"/>
        <w:rPr>
          <w:rFonts w:ascii="Times New Roman" w:eastAsia="Calibri" w:hAnsi="Times New Roman" w:cs="Times New Roman"/>
          <w:sz w:val="28"/>
          <w:szCs w:val="28"/>
        </w:rPr>
      </w:pPr>
      <w:r>
        <w:rPr>
          <w:rFonts w:ascii="Times New Roman" w:eastAsia="Calibri" w:hAnsi="Times New Roman" w:cs="Times New Roman"/>
          <w:sz w:val="28"/>
          <w:szCs w:val="28"/>
        </w:rPr>
        <w:t>Липецкий филиал, город Липецк,</w:t>
      </w:r>
    </w:p>
    <w:p w14:paraId="1AE1B084" w14:textId="77777777" w:rsidR="004135F3" w:rsidRDefault="00B812E5">
      <w:pPr>
        <w:spacing w:after="0" w:line="240" w:lineRule="auto"/>
        <w:ind w:firstLine="567"/>
        <w:jc w:val="right"/>
        <w:rPr>
          <w:rFonts w:ascii="Times New Roman" w:eastAsia="Calibri" w:hAnsi="Times New Roman" w:cs="Times New Roman"/>
          <w:sz w:val="28"/>
          <w:szCs w:val="28"/>
        </w:rPr>
      </w:pPr>
      <w:proofErr w:type="spellStart"/>
      <w:r>
        <w:rPr>
          <w:rFonts w:ascii="Times New Roman" w:eastAsia="Calibri" w:hAnsi="Times New Roman" w:cs="Times New Roman"/>
          <w:sz w:val="28"/>
          <w:szCs w:val="28"/>
          <w:lang w:val="en-US"/>
        </w:rPr>
        <w:t>vovka</w:t>
      </w:r>
      <w:proofErr w:type="spellEnd"/>
      <w:r w:rsidRPr="00B812E5">
        <w:rPr>
          <w:rFonts w:ascii="Times New Roman" w:eastAsia="Calibri" w:hAnsi="Times New Roman" w:cs="Times New Roman"/>
          <w:sz w:val="28"/>
          <w:szCs w:val="28"/>
        </w:rPr>
        <w:t>123456781910@</w:t>
      </w:r>
      <w:proofErr w:type="spellStart"/>
      <w:r>
        <w:rPr>
          <w:rFonts w:ascii="Times New Roman" w:eastAsia="Calibri" w:hAnsi="Times New Roman" w:cs="Times New Roman"/>
          <w:sz w:val="28"/>
          <w:szCs w:val="28"/>
          <w:lang w:val="en-US"/>
        </w:rPr>
        <w:t>gmail</w:t>
      </w:r>
      <w:proofErr w:type="spellEnd"/>
      <w:r w:rsidRPr="00B812E5">
        <w:rPr>
          <w:rFonts w:ascii="Times New Roman" w:eastAsia="Calibri" w:hAnsi="Times New Roman" w:cs="Times New Roman"/>
          <w:sz w:val="28"/>
          <w:szCs w:val="28"/>
        </w:rPr>
        <w:t>.</w:t>
      </w:r>
      <w:r>
        <w:rPr>
          <w:rFonts w:ascii="Times New Roman" w:eastAsia="Calibri" w:hAnsi="Times New Roman" w:cs="Times New Roman"/>
          <w:sz w:val="28"/>
          <w:szCs w:val="28"/>
          <w:lang w:val="en-US"/>
        </w:rPr>
        <w:t>com</w:t>
      </w:r>
      <w:r w:rsidRPr="00B812E5">
        <w:rPr>
          <w:rFonts w:ascii="Times New Roman" w:eastAsia="Calibri" w:hAnsi="Times New Roman" w:cs="Times New Roman"/>
          <w:sz w:val="28"/>
          <w:szCs w:val="28"/>
        </w:rPr>
        <w:t>,</w:t>
      </w:r>
    </w:p>
    <w:p w14:paraId="5F3D7C5C" w14:textId="563793AE" w:rsidR="004135F3" w:rsidRDefault="00B812E5">
      <w:pPr>
        <w:spacing w:line="240" w:lineRule="auto"/>
        <w:jc w:val="right"/>
        <w:rPr>
          <w:rFonts w:ascii="Times New Roman" w:hAnsi="Times New Roman" w:cs="Times New Roman"/>
          <w:sz w:val="28"/>
          <w:szCs w:val="28"/>
        </w:rPr>
      </w:pPr>
      <w:r>
        <w:rPr>
          <w:rFonts w:ascii="Times New Roman" w:eastAsia="Calibri" w:hAnsi="Times New Roman" w:cs="Times New Roman"/>
          <w:sz w:val="28"/>
          <w:szCs w:val="28"/>
        </w:rPr>
        <w:t xml:space="preserve">                                 Научный руководитель – Соловьева В.В. д-</w:t>
      </w:r>
      <w:proofErr w:type="spellStart"/>
      <w:proofErr w:type="gramStart"/>
      <w:r>
        <w:rPr>
          <w:rFonts w:ascii="Times New Roman" w:eastAsia="Calibri" w:hAnsi="Times New Roman" w:cs="Times New Roman"/>
          <w:sz w:val="28"/>
          <w:szCs w:val="28"/>
        </w:rPr>
        <w:t>р.ист</w:t>
      </w:r>
      <w:proofErr w:type="gramEnd"/>
      <w:r>
        <w:rPr>
          <w:rFonts w:ascii="Times New Roman" w:eastAsia="Calibri" w:hAnsi="Times New Roman" w:cs="Times New Roman"/>
          <w:sz w:val="28"/>
          <w:szCs w:val="28"/>
        </w:rPr>
        <w:t>.наук</w:t>
      </w:r>
      <w:proofErr w:type="spellEnd"/>
      <w:r>
        <w:rPr>
          <w:rFonts w:ascii="Times New Roman" w:eastAsia="Calibri" w:hAnsi="Times New Roman" w:cs="Times New Roman"/>
          <w:sz w:val="28"/>
          <w:szCs w:val="28"/>
        </w:rPr>
        <w:t>, проф.</w:t>
      </w:r>
    </w:p>
    <w:p w14:paraId="54D8CF67" w14:textId="613202AD" w:rsidR="004135F3" w:rsidRDefault="00B812E5">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bCs/>
          <w:color w:val="000000"/>
          <w:sz w:val="28"/>
          <w:szCs w:val="28"/>
        </w:rPr>
        <w:t xml:space="preserve">КОНСТИТУЦИЯ </w:t>
      </w:r>
      <w:r w:rsidR="005D6B00">
        <w:rPr>
          <w:rFonts w:ascii="Times New Roman" w:hAnsi="Times New Roman" w:cs="Times New Roman"/>
          <w:b/>
          <w:bCs/>
          <w:color w:val="000000"/>
          <w:sz w:val="28"/>
          <w:szCs w:val="28"/>
        </w:rPr>
        <w:t>ЯПОНИИ 1946</w:t>
      </w:r>
      <w:r>
        <w:rPr>
          <w:rFonts w:ascii="Times New Roman" w:hAnsi="Times New Roman" w:cs="Times New Roman"/>
          <w:b/>
          <w:bCs/>
          <w:color w:val="000000"/>
          <w:sz w:val="28"/>
          <w:szCs w:val="28"/>
        </w:rPr>
        <w:t xml:space="preserve"> Г.</w:t>
      </w:r>
      <w:r w:rsidRPr="00B812E5">
        <w:rPr>
          <w:rFonts w:ascii="Times New Roman" w:hAnsi="Times New Roman" w:cs="Times New Roman"/>
          <w:b/>
          <w:bCs/>
          <w:color w:val="000000"/>
          <w:sz w:val="28"/>
          <w:szCs w:val="28"/>
        </w:rPr>
        <w:t xml:space="preserve"> </w:t>
      </w:r>
      <w:r w:rsidRPr="00B812E5">
        <w:rPr>
          <w:rFonts w:ascii="Times New Roman" w:hAnsi="Times New Roman" w:cs="Times New Roman"/>
          <w:color w:val="000000"/>
          <w:sz w:val="28"/>
          <w:szCs w:val="28"/>
        </w:rPr>
        <w:br/>
      </w:r>
    </w:p>
    <w:p w14:paraId="1C999789" w14:textId="77777777" w:rsidR="004135F3" w:rsidRDefault="00B812E5">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Аннотация</w:t>
      </w:r>
    </w:p>
    <w:p w14:paraId="2CBA6B28" w14:textId="77777777" w:rsidR="0049057E" w:rsidRDefault="00B812E5" w:rsidP="0049057E">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9057E" w:rsidRPr="0049057E">
        <w:rPr>
          <w:rFonts w:ascii="Times New Roman" w:eastAsia="Times New Roman" w:hAnsi="Times New Roman" w:cs="Times New Roman"/>
          <w:color w:val="000000"/>
          <w:sz w:val="28"/>
          <w:szCs w:val="28"/>
        </w:rPr>
        <w:t xml:space="preserve">В </w:t>
      </w:r>
      <w:r w:rsidR="0049057E">
        <w:rPr>
          <w:rFonts w:ascii="Times New Roman" w:eastAsia="Times New Roman" w:hAnsi="Times New Roman" w:cs="Times New Roman"/>
          <w:color w:val="000000"/>
          <w:sz w:val="28"/>
          <w:szCs w:val="28"/>
        </w:rPr>
        <w:t xml:space="preserve">научной </w:t>
      </w:r>
      <w:r w:rsidR="0049057E" w:rsidRPr="0049057E">
        <w:rPr>
          <w:rFonts w:ascii="Times New Roman" w:eastAsia="Times New Roman" w:hAnsi="Times New Roman" w:cs="Times New Roman"/>
          <w:color w:val="000000"/>
          <w:sz w:val="28"/>
          <w:szCs w:val="28"/>
        </w:rPr>
        <w:t xml:space="preserve">статье проводится комплексный правовой анализ Конституции Японии 1946 года, рассматриваемой как фундаментальный акт, заложивший основы современного японского государства. </w:t>
      </w:r>
    </w:p>
    <w:p w14:paraId="2A733ECD" w14:textId="18526A08"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both"/>
        <w:rPr>
          <w:rFonts w:ascii="Times New Roman" w:eastAsia="Times New Roman" w:hAnsi="Times New Roman" w:cs="Times New Roman"/>
          <w:color w:val="000000"/>
          <w:sz w:val="28"/>
          <w:szCs w:val="28"/>
        </w:rPr>
      </w:pPr>
      <w:r w:rsidRPr="0049057E">
        <w:rPr>
          <w:rFonts w:ascii="Times New Roman" w:eastAsia="Times New Roman" w:hAnsi="Times New Roman" w:cs="Times New Roman"/>
          <w:color w:val="000000"/>
          <w:sz w:val="28"/>
          <w:szCs w:val="28"/>
        </w:rPr>
        <w:t>Особое внимание уделяется принципам народного суверенитета, разделения властей, а также уникальной концепции пацифизма, закрепленной в статье 9. Исследуются механизмы защиты прав и свобод человека, роль императора как символа государства и единства народа, а также система местного самоуправления. Работа также затрагивает вопросы конституционной стабильности и дискуссии о возможных поправках.</w:t>
      </w:r>
    </w:p>
    <w:p w14:paraId="223D0488"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both"/>
        <w:rPr>
          <w:rFonts w:ascii="Times New Roman" w:eastAsia="Times New Roman" w:hAnsi="Times New Roman" w:cs="Times New Roman"/>
          <w:color w:val="000000"/>
          <w:sz w:val="28"/>
          <w:szCs w:val="28"/>
        </w:rPr>
      </w:pPr>
    </w:p>
    <w:p w14:paraId="012842B3" w14:textId="4CC114DA" w:rsidR="004135F3" w:rsidRDefault="00B812E5">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Ключевые слова: </w:t>
      </w:r>
      <w:r>
        <w:rPr>
          <w:rFonts w:ascii="Times New Roman" w:eastAsia="Times New Roman" w:hAnsi="Times New Roman" w:cs="Times New Roman"/>
          <w:color w:val="000000"/>
          <w:sz w:val="28"/>
          <w:szCs w:val="28"/>
        </w:rPr>
        <w:t xml:space="preserve">конституция, закон, исторический феномен, политика, государство, республика, народ, статья, иерархия. </w:t>
      </w:r>
    </w:p>
    <w:p w14:paraId="009388E6" w14:textId="77777777" w:rsidR="004135F3" w:rsidRDefault="004135F3">
      <w:pPr>
        <w:spacing w:after="0" w:line="240" w:lineRule="auto"/>
        <w:jc w:val="both"/>
        <w:rPr>
          <w:rFonts w:ascii="Times New Roman" w:eastAsia="Times New Roman" w:hAnsi="Times New Roman" w:cs="Times New Roman"/>
          <w:color w:val="000000"/>
          <w:sz w:val="28"/>
          <w:szCs w:val="28"/>
        </w:rPr>
      </w:pPr>
    </w:p>
    <w:p w14:paraId="2499E801"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Поражение Японии во Второй мировой войне (капитуляция последовала 2 сентября 1945 г.) вызвало кризис японской государственности и практическое ее разрушение. Страна была оккупирована войсками США. Все государственные полномочия перешли к главнокомандующему войсками США, при котором был организован Консультативный совет из представителей СССР, Великобритании и Китая. Дополнительным органом контроля была особая Дальневосточная комиссия, в которой принимали участие уже делегации 11 воевавших с Японией государств.</w:t>
      </w:r>
    </w:p>
    <w:p w14:paraId="3F662FDA"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4E468E98"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 xml:space="preserve">Основы послевоенного устройства Японии были предопределены Потсдамской декларацией держав-победительниц от 26 июля 1945 г. В соответствии с Декларацией должны были ликвидироваться все военные учреждения, генеральный штаб, распускалась армия. Упразднялись полугосударственные политические и экономические «структуры». В октябре 1945 г. штаб оккупационных войск обнародовал приказ о восстановлении в стране в полной мере демократических прав и свобод: </w:t>
      </w:r>
      <w:r w:rsidRPr="0049057E">
        <w:rPr>
          <w:rFonts w:ascii="Times New Roman" w:hAnsi="Times New Roman" w:cs="Times New Roman"/>
          <w:color w:val="000000"/>
          <w:sz w:val="28"/>
          <w:szCs w:val="28"/>
        </w:rPr>
        <w:lastRenderedPageBreak/>
        <w:t>слова, печати, митингов, союзов. 17 декабря 1945 г. приказом было установлено всеобщее избирательное право (и мужчин, и женщин, начиная с 20 лет; пассивное – с 25 лет).</w:t>
      </w:r>
    </w:p>
    <w:p w14:paraId="03D9333E"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3E8F72B8"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 xml:space="preserve">Оккупационные власти не без основания видели главную опасность возрождения милитаризма в тех антидемократических структурах и в полицейском режиме, которые утвердились в Японии в 1940 г. Поэтому власти инициировали возрождение и активизацию деятельности политических партий. К концу 1946 г. заявили о своем существовании свыше 120 политических партий и объединений разной направленности. Наиболее крупными стали </w:t>
      </w:r>
      <w:proofErr w:type="spellStart"/>
      <w:r w:rsidRPr="0049057E">
        <w:rPr>
          <w:rFonts w:ascii="Times New Roman" w:hAnsi="Times New Roman" w:cs="Times New Roman"/>
          <w:color w:val="000000"/>
          <w:sz w:val="28"/>
          <w:szCs w:val="28"/>
        </w:rPr>
        <w:t>дзиюто</w:t>
      </w:r>
      <w:proofErr w:type="spellEnd"/>
      <w:r w:rsidRPr="0049057E">
        <w:rPr>
          <w:rFonts w:ascii="Times New Roman" w:hAnsi="Times New Roman" w:cs="Times New Roman"/>
          <w:color w:val="000000"/>
          <w:sz w:val="28"/>
          <w:szCs w:val="28"/>
        </w:rPr>
        <w:t xml:space="preserve"> (Либеральная), образованная в ноябре 1945 г. на базе довоенной </w:t>
      </w:r>
      <w:proofErr w:type="spellStart"/>
      <w:r w:rsidRPr="0049057E">
        <w:rPr>
          <w:rFonts w:ascii="Times New Roman" w:hAnsi="Times New Roman" w:cs="Times New Roman"/>
          <w:color w:val="000000"/>
          <w:sz w:val="28"/>
          <w:szCs w:val="28"/>
        </w:rPr>
        <w:t>сэйюкай</w:t>
      </w:r>
      <w:proofErr w:type="spellEnd"/>
      <w:r w:rsidRPr="0049057E">
        <w:rPr>
          <w:rFonts w:ascii="Times New Roman" w:hAnsi="Times New Roman" w:cs="Times New Roman"/>
          <w:color w:val="000000"/>
          <w:sz w:val="28"/>
          <w:szCs w:val="28"/>
        </w:rPr>
        <w:t xml:space="preserve">, </w:t>
      </w:r>
      <w:proofErr w:type="spellStart"/>
      <w:r w:rsidRPr="0049057E">
        <w:rPr>
          <w:rFonts w:ascii="Times New Roman" w:hAnsi="Times New Roman" w:cs="Times New Roman"/>
          <w:color w:val="000000"/>
          <w:sz w:val="28"/>
          <w:szCs w:val="28"/>
        </w:rPr>
        <w:t>симпото</w:t>
      </w:r>
      <w:proofErr w:type="spellEnd"/>
      <w:r w:rsidRPr="0049057E">
        <w:rPr>
          <w:rFonts w:ascii="Times New Roman" w:hAnsi="Times New Roman" w:cs="Times New Roman"/>
          <w:color w:val="000000"/>
          <w:sz w:val="28"/>
          <w:szCs w:val="28"/>
        </w:rPr>
        <w:t xml:space="preserve"> (Прогрессивная), подхватившая инициативу </w:t>
      </w:r>
      <w:proofErr w:type="spellStart"/>
      <w:r w:rsidRPr="0049057E">
        <w:rPr>
          <w:rFonts w:ascii="Times New Roman" w:hAnsi="Times New Roman" w:cs="Times New Roman"/>
          <w:color w:val="000000"/>
          <w:sz w:val="28"/>
          <w:szCs w:val="28"/>
        </w:rPr>
        <w:t>минсейто</w:t>
      </w:r>
      <w:proofErr w:type="spellEnd"/>
      <w:r w:rsidRPr="0049057E">
        <w:rPr>
          <w:rFonts w:ascii="Times New Roman" w:hAnsi="Times New Roman" w:cs="Times New Roman"/>
          <w:color w:val="000000"/>
          <w:sz w:val="28"/>
          <w:szCs w:val="28"/>
        </w:rPr>
        <w:t xml:space="preserve">, </w:t>
      </w:r>
      <w:proofErr w:type="spellStart"/>
      <w:r w:rsidRPr="0049057E">
        <w:rPr>
          <w:rFonts w:ascii="Times New Roman" w:hAnsi="Times New Roman" w:cs="Times New Roman"/>
          <w:color w:val="000000"/>
          <w:sz w:val="28"/>
          <w:szCs w:val="28"/>
        </w:rPr>
        <w:t>нихон</w:t>
      </w:r>
      <w:proofErr w:type="spellEnd"/>
      <w:r w:rsidRPr="0049057E">
        <w:rPr>
          <w:rFonts w:ascii="Times New Roman" w:hAnsi="Times New Roman" w:cs="Times New Roman"/>
          <w:color w:val="000000"/>
          <w:sz w:val="28"/>
          <w:szCs w:val="28"/>
        </w:rPr>
        <w:t xml:space="preserve"> </w:t>
      </w:r>
      <w:proofErr w:type="spellStart"/>
      <w:r w:rsidRPr="0049057E">
        <w:rPr>
          <w:rFonts w:ascii="Times New Roman" w:hAnsi="Times New Roman" w:cs="Times New Roman"/>
          <w:color w:val="000000"/>
          <w:sz w:val="28"/>
          <w:szCs w:val="28"/>
        </w:rPr>
        <w:t>кедото</w:t>
      </w:r>
      <w:proofErr w:type="spellEnd"/>
      <w:r w:rsidRPr="0049057E">
        <w:rPr>
          <w:rFonts w:ascii="Times New Roman" w:hAnsi="Times New Roman" w:cs="Times New Roman"/>
          <w:color w:val="000000"/>
          <w:sz w:val="28"/>
          <w:szCs w:val="28"/>
        </w:rPr>
        <w:t xml:space="preserve"> (Японская партия сотрудничества), ставшая организацией мелких собственников. В ноябре 1945 г. возобновили свою деятельность Социалистическая и Коммунистическая партии. Главой переходного правительства оккупационные власти поставили лидера партии </w:t>
      </w:r>
      <w:proofErr w:type="spellStart"/>
      <w:r w:rsidRPr="0049057E">
        <w:rPr>
          <w:rFonts w:ascii="Times New Roman" w:hAnsi="Times New Roman" w:cs="Times New Roman"/>
          <w:color w:val="000000"/>
          <w:sz w:val="28"/>
          <w:szCs w:val="28"/>
        </w:rPr>
        <w:t>Сэйюкай</w:t>
      </w:r>
      <w:proofErr w:type="spellEnd"/>
      <w:r w:rsidRPr="0049057E">
        <w:rPr>
          <w:rFonts w:ascii="Times New Roman" w:hAnsi="Times New Roman" w:cs="Times New Roman"/>
          <w:color w:val="000000"/>
          <w:sz w:val="28"/>
          <w:szCs w:val="28"/>
        </w:rPr>
        <w:t>.</w:t>
      </w:r>
    </w:p>
    <w:p w14:paraId="2030C23B"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09980C8E"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 xml:space="preserve">Общеполитические преобразования подразумевали пересмотр номинально действовавшей в Японии Конституции 1889 г. Планы ее реформирования включали отказ от основных преимуществ правительства и целого ряда традиционно-аристократических институтов в пользу расширения прав представительства (расширения полномочий Палаты депутатов, уничтожения права вето Палаты пэров, императорского вето, установление ответственности правительства перед Палатой). После того как оккупационные власти обнародовали планы реформирования конституции, основные политические партии выступили со своими предложениями. Проект партии </w:t>
      </w:r>
      <w:proofErr w:type="spellStart"/>
      <w:r w:rsidRPr="0049057E">
        <w:rPr>
          <w:rFonts w:ascii="Times New Roman" w:hAnsi="Times New Roman" w:cs="Times New Roman"/>
          <w:color w:val="000000"/>
          <w:sz w:val="28"/>
          <w:szCs w:val="28"/>
        </w:rPr>
        <w:t>дзиюто</w:t>
      </w:r>
      <w:proofErr w:type="spellEnd"/>
      <w:r w:rsidRPr="0049057E">
        <w:rPr>
          <w:rFonts w:ascii="Times New Roman" w:hAnsi="Times New Roman" w:cs="Times New Roman"/>
          <w:color w:val="000000"/>
          <w:sz w:val="28"/>
          <w:szCs w:val="28"/>
        </w:rPr>
        <w:t xml:space="preserve"> предполагал сохранение императорской власти с ограничением прав императора в отношении армии и издания указов. Проект Социалистической партии предполагал воплощение социал-демократических парламентарных порядков. Проект Коммунистической партии – полную ликвидацию монархии и установление демократической республики.</w:t>
      </w:r>
    </w:p>
    <w:p w14:paraId="29266320"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40B59DAA"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Более практический план реформирования конституционных структур был разработан в Государственном департаменте США и предполагал важные политические ограничения на государственную деятельность будущей власти вообще (</w:t>
      </w:r>
      <w:proofErr w:type="gramStart"/>
      <w:r w:rsidRPr="0049057E">
        <w:rPr>
          <w:rFonts w:ascii="Times New Roman" w:hAnsi="Times New Roman" w:cs="Times New Roman"/>
          <w:color w:val="000000"/>
          <w:sz w:val="28"/>
          <w:szCs w:val="28"/>
        </w:rPr>
        <w:t>в частности</w:t>
      </w:r>
      <w:proofErr w:type="gramEnd"/>
      <w:r w:rsidRPr="0049057E">
        <w:rPr>
          <w:rFonts w:ascii="Times New Roman" w:hAnsi="Times New Roman" w:cs="Times New Roman"/>
          <w:color w:val="000000"/>
          <w:sz w:val="28"/>
          <w:szCs w:val="28"/>
        </w:rPr>
        <w:t xml:space="preserve"> отказ от войны) и упразднение основных институтов традиционной монархии. Споры с японским правительством по поводу судеб монархии окончились ультимативным требованием: или ликвидация политического абсолютизма, или вообще ликвидация </w:t>
      </w:r>
      <w:r w:rsidRPr="0049057E">
        <w:rPr>
          <w:rFonts w:ascii="Times New Roman" w:hAnsi="Times New Roman" w:cs="Times New Roman"/>
          <w:color w:val="000000"/>
          <w:sz w:val="28"/>
          <w:szCs w:val="28"/>
        </w:rPr>
        <w:lastRenderedPageBreak/>
        <w:t xml:space="preserve">монархии. В феврале 1946 г. японское правительство приняло американский план конституционных преобразований, контроль за осуществлением которого был возложен на оккупационный штаб генерала Макартура. Подготовка конституции прошла при нарастании политических и идеологических противоречий с СССР, позицию которого выражала Дальневосточная комиссия и который выдвигал абсолютно нереализуемые в тех условиях политические </w:t>
      </w:r>
      <w:proofErr w:type="spellStart"/>
      <w:r w:rsidRPr="0049057E">
        <w:rPr>
          <w:rFonts w:ascii="Times New Roman" w:hAnsi="Times New Roman" w:cs="Times New Roman"/>
          <w:color w:val="000000"/>
          <w:sz w:val="28"/>
          <w:szCs w:val="28"/>
        </w:rPr>
        <w:t>контрукции</w:t>
      </w:r>
      <w:proofErr w:type="spellEnd"/>
      <w:r w:rsidRPr="0049057E">
        <w:rPr>
          <w:rFonts w:ascii="Times New Roman" w:hAnsi="Times New Roman" w:cs="Times New Roman"/>
          <w:color w:val="000000"/>
          <w:sz w:val="28"/>
          <w:szCs w:val="28"/>
        </w:rPr>
        <w:t xml:space="preserve"> представительно-советской республики китайского образца. В марте 1946 г. проект был правительством доработан, получил одобрение в штабах Макартура и Государственном департаменте США и опубликован.</w:t>
      </w:r>
    </w:p>
    <w:p w14:paraId="126E50D6"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2D1FDF8F"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10 апреля 1946 г. прошли первые послевоенные выборы в парламент. Большинство мест в Палате получили Либеральная (30 %), Прогрессивная (20%) и Социалистическая (20%) партии. Либеральная и Прогрессивная партии сформировали новое правительство. Проект конституции был одобрен Тайным советом, затем императором. В течение августа – октября 1946 г. проект был обсужден и одобрен Палатой представителей (421:8 голосов) и Палатой пэров (большинством в 2/3). Некоторые важные поправки были дополнительно утверждены Палатой представителей уже после общего обсуждения. 3 ноября 1946 г. конституция была одобрена императором, и с 3 мая 1947 г. она вступила в силу, заложив основы нового государственного уклада в Японии.</w:t>
      </w:r>
    </w:p>
    <w:p w14:paraId="3AD0452B"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62FA62C1"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Конституция 1946 г. (103 ст.) установила своеобразный строй, сочетающий парламентскую республику с номинальным сохранением конституционной монархии. Особыми статьями закреплялся отказ японского государства от войны как средства политики и запрещение организовывать армию и флот (кроме т. н. Корпуса обороны). Исходя из провозглашенного принципа народного суверенитета устанавливался безусловный государственный приоритет парламента.</w:t>
      </w:r>
    </w:p>
    <w:p w14:paraId="3AAB61AD"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5BCF0256"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 xml:space="preserve">Император считался символом нации, и его статус определялся «волей народа» (ст.1). Ликвидировались все прежние привилегии и государственные преимущества императорского дома, упразднялся Тайный совет, императорский бюджет, министерство двора и т. п. Император сохранял номинальные полномочия утверждения основных правительственных институтов: назначал премьер-министра, верховных судей, </w:t>
      </w:r>
      <w:proofErr w:type="spellStart"/>
      <w:r w:rsidRPr="0049057E">
        <w:rPr>
          <w:rFonts w:ascii="Times New Roman" w:hAnsi="Times New Roman" w:cs="Times New Roman"/>
          <w:color w:val="000000"/>
          <w:sz w:val="28"/>
          <w:szCs w:val="28"/>
        </w:rPr>
        <w:t>обнародывал</w:t>
      </w:r>
      <w:proofErr w:type="spellEnd"/>
      <w:r w:rsidRPr="0049057E">
        <w:rPr>
          <w:rFonts w:ascii="Times New Roman" w:hAnsi="Times New Roman" w:cs="Times New Roman"/>
          <w:color w:val="000000"/>
          <w:sz w:val="28"/>
          <w:szCs w:val="28"/>
        </w:rPr>
        <w:t xml:space="preserve"> законы, созывал и распускал парламент, утверждал назначения на высшие государственные посты. Однако все действия монарха ставились в строгую зависимость от законов и одобрения кабинета министров.</w:t>
      </w:r>
    </w:p>
    <w:p w14:paraId="2F998AF0"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3073F008" w14:textId="09C67F6B"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Парламент учреждался двухпалатным. Нижняя, Палата представителей избиралась (в составе 467 депутатов) по многомандатным округам на 4 года. Верхняя, Палата советников (в составе 252 депутатов) – на 6 лет с периодическим переизбранием по 1/2 по сложной системе (150 депутатов – по префектурам, 100 – по обще</w:t>
      </w:r>
      <w:r w:rsidR="00764F90">
        <w:rPr>
          <w:rFonts w:ascii="Times New Roman" w:hAnsi="Times New Roman" w:cs="Times New Roman"/>
          <w:color w:val="000000"/>
          <w:sz w:val="28"/>
          <w:szCs w:val="28"/>
        </w:rPr>
        <w:t>-</w:t>
      </w:r>
      <w:r w:rsidRPr="0049057E">
        <w:rPr>
          <w:rFonts w:ascii="Times New Roman" w:hAnsi="Times New Roman" w:cs="Times New Roman"/>
          <w:color w:val="000000"/>
          <w:sz w:val="28"/>
          <w:szCs w:val="28"/>
        </w:rPr>
        <w:t>японскому многомандатному округу, 2 были делегатами о-ва Окинава). В целом полномочия обеих палат были равными. Но Законом о парламенте (26 апреля 1947 г.) закреплялся приоритет нижней палаты: она могла квалифицированным большинством преодолеть вето верхней, нижняя палата преимуществовала и при внесении поправок в Конституцию. Парламент был единственно законодательным органом, и эти его полномочия не могли ограничиваться никакими другими правительственными институтами.</w:t>
      </w:r>
    </w:p>
    <w:p w14:paraId="6ACC2A63"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3582FCBF"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Положение кабинета министров определялось не только Конституцией, но также и особым Законом (16 января 1947 г.). Глава правительства избирался парламентом, и кабинет нес коллективную ответственность перед депутатами. Правительству принадлежала полнота государственного управления, ведения государственных дел, проведения в жизнь законов, организации государственной службы, заключение международных договоров.</w:t>
      </w:r>
    </w:p>
    <w:p w14:paraId="7D26EAB3"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5906C186"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Конституция предусмотрела самостоятельную организацию судебной власти, следуя началу разделения властей. Главой судебной системы считался Верховный суд, который назначался и смещался по представлению парламента. Но в полномочиях которого было и право рассмотреть конституционность принятых законов.</w:t>
      </w:r>
    </w:p>
    <w:p w14:paraId="733B0C1E"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3B4CBDF4" w14:textId="668EA7C1"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t>Конституция 1946 г. значительно расширила систему демократических прав и свобод граждан. Провозглашалось упразднение сословий, отделение церкви от государства, равенство супругов в семье, запрет детского труда. Охраняя право частной собственности в принципе, предусматривалось, что она может быть «социализирована» (ст. 29). Закреплялись право на труд и обязанность трудиться, свобода выбора профессий, социальные гарантии образования</w:t>
      </w:r>
      <w:r w:rsidR="00764F90">
        <w:rPr>
          <w:rFonts w:ascii="Times New Roman" w:hAnsi="Times New Roman" w:cs="Times New Roman"/>
          <w:color w:val="000000"/>
          <w:sz w:val="28"/>
          <w:szCs w:val="28"/>
        </w:rPr>
        <w:t>,</w:t>
      </w:r>
      <w:r w:rsidRPr="0049057E">
        <w:rPr>
          <w:rFonts w:ascii="Times New Roman" w:hAnsi="Times New Roman" w:cs="Times New Roman"/>
          <w:color w:val="000000"/>
          <w:sz w:val="28"/>
          <w:szCs w:val="28"/>
        </w:rPr>
        <w:t xml:space="preserve"> а также «минимального уровня здоровой и культурной жизни». Основные права граждан были провозглашены вечными и неотъемлемыми, как бы выражающими принципы всего нового государственного порядка.</w:t>
      </w:r>
    </w:p>
    <w:p w14:paraId="0A201894"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0C5B9E91"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color w:val="000000"/>
          <w:sz w:val="28"/>
          <w:szCs w:val="28"/>
        </w:rPr>
      </w:pPr>
      <w:r w:rsidRPr="0049057E">
        <w:rPr>
          <w:rFonts w:ascii="Times New Roman" w:hAnsi="Times New Roman" w:cs="Times New Roman"/>
          <w:color w:val="000000"/>
          <w:sz w:val="28"/>
          <w:szCs w:val="28"/>
        </w:rPr>
        <w:lastRenderedPageBreak/>
        <w:t>В 1951 г. Япония подписала мирный договор с США, а также ряд других документов, установивших отношения политического равноправия между странами. На основании договора все ранее существовавшие ограничения суверенитета отменялись.</w:t>
      </w:r>
    </w:p>
    <w:p w14:paraId="31DEC804" w14:textId="77777777" w:rsidR="0049057E" w:rsidRPr="0049057E"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both"/>
        <w:rPr>
          <w:rFonts w:ascii="Times New Roman" w:hAnsi="Times New Roman" w:cs="Times New Roman"/>
          <w:color w:val="000000"/>
          <w:sz w:val="28"/>
          <w:szCs w:val="28"/>
        </w:rPr>
      </w:pPr>
    </w:p>
    <w:p w14:paraId="0407CA6B" w14:textId="4AAC02CA" w:rsidR="009D0411" w:rsidRDefault="0049057E" w:rsidP="0049057E">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b/>
          <w:bCs/>
          <w:sz w:val="28"/>
          <w:szCs w:val="28"/>
        </w:rPr>
      </w:pPr>
      <w:r w:rsidRPr="0049057E">
        <w:rPr>
          <w:rFonts w:ascii="Times New Roman" w:hAnsi="Times New Roman" w:cs="Times New Roman"/>
          <w:color w:val="000000"/>
          <w:sz w:val="28"/>
          <w:szCs w:val="28"/>
        </w:rPr>
        <w:t xml:space="preserve">К середине 1950-х гг. сложилась новая система политических партий в Японии. В ноябре 1955 г. </w:t>
      </w:r>
      <w:proofErr w:type="spellStart"/>
      <w:r w:rsidRPr="0049057E">
        <w:rPr>
          <w:rFonts w:ascii="Times New Roman" w:hAnsi="Times New Roman" w:cs="Times New Roman"/>
          <w:color w:val="000000"/>
          <w:sz w:val="28"/>
          <w:szCs w:val="28"/>
        </w:rPr>
        <w:t>дзиюто</w:t>
      </w:r>
      <w:proofErr w:type="spellEnd"/>
      <w:r w:rsidRPr="0049057E">
        <w:rPr>
          <w:rFonts w:ascii="Times New Roman" w:hAnsi="Times New Roman" w:cs="Times New Roman"/>
          <w:color w:val="000000"/>
          <w:sz w:val="28"/>
          <w:szCs w:val="28"/>
        </w:rPr>
        <w:t xml:space="preserve"> и </w:t>
      </w:r>
      <w:proofErr w:type="spellStart"/>
      <w:r w:rsidRPr="0049057E">
        <w:rPr>
          <w:rFonts w:ascii="Times New Roman" w:hAnsi="Times New Roman" w:cs="Times New Roman"/>
          <w:color w:val="000000"/>
          <w:sz w:val="28"/>
          <w:szCs w:val="28"/>
        </w:rPr>
        <w:t>минсейто</w:t>
      </w:r>
      <w:proofErr w:type="spellEnd"/>
      <w:r w:rsidRPr="0049057E">
        <w:rPr>
          <w:rFonts w:ascii="Times New Roman" w:hAnsi="Times New Roman" w:cs="Times New Roman"/>
          <w:color w:val="000000"/>
          <w:sz w:val="28"/>
          <w:szCs w:val="28"/>
        </w:rPr>
        <w:t xml:space="preserve"> слились воедино в Либерально-демократическую партию, став основной правительственной силой страны в последующие десятилетия. Второй крупнейшей стала Социалистическая партия. Позднее образовались некоторые новые движения: партия </w:t>
      </w:r>
      <w:proofErr w:type="spellStart"/>
      <w:r w:rsidRPr="0049057E">
        <w:rPr>
          <w:rFonts w:ascii="Times New Roman" w:hAnsi="Times New Roman" w:cs="Times New Roman"/>
          <w:color w:val="000000"/>
          <w:sz w:val="28"/>
          <w:szCs w:val="28"/>
        </w:rPr>
        <w:t>Комэйто</w:t>
      </w:r>
      <w:proofErr w:type="spellEnd"/>
      <w:r w:rsidRPr="0049057E">
        <w:rPr>
          <w:rFonts w:ascii="Times New Roman" w:hAnsi="Times New Roman" w:cs="Times New Roman"/>
          <w:color w:val="000000"/>
          <w:sz w:val="28"/>
          <w:szCs w:val="28"/>
        </w:rPr>
        <w:t xml:space="preserve"> (социального правления), выдвигающая программу особых реформ социального покровительства, Партия демократического социализма. Однако в последние десятилетия XX в. основное политическое соперничество в борьбе за парламент и правительство проходило между Либерально-демократической и Социалистической партией. Их реформистские курсы и определили основные события государственной жизни страны вплоть до конца XX в.</w:t>
      </w:r>
    </w:p>
    <w:p w14:paraId="5AEB3465" w14:textId="77777777" w:rsidR="009D0411" w:rsidRDefault="009D0411">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center"/>
        <w:rPr>
          <w:rFonts w:ascii="Times New Roman" w:hAnsi="Times New Roman" w:cs="Times New Roman"/>
          <w:b/>
          <w:bCs/>
          <w:sz w:val="28"/>
          <w:szCs w:val="28"/>
        </w:rPr>
      </w:pPr>
    </w:p>
    <w:p w14:paraId="73E5637C" w14:textId="77777777" w:rsidR="009D0411" w:rsidRDefault="009D0411">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center"/>
        <w:rPr>
          <w:rFonts w:ascii="Times New Roman" w:hAnsi="Times New Roman" w:cs="Times New Roman"/>
          <w:b/>
          <w:bCs/>
          <w:sz w:val="28"/>
          <w:szCs w:val="28"/>
        </w:rPr>
      </w:pPr>
    </w:p>
    <w:p w14:paraId="58C028F3" w14:textId="77777777" w:rsidR="009D0411" w:rsidRDefault="009D0411">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center"/>
        <w:rPr>
          <w:rFonts w:ascii="Times New Roman" w:hAnsi="Times New Roman" w:cs="Times New Roman"/>
          <w:b/>
          <w:bCs/>
          <w:sz w:val="28"/>
          <w:szCs w:val="28"/>
        </w:rPr>
      </w:pPr>
    </w:p>
    <w:p w14:paraId="0387DC0E" w14:textId="4226776B" w:rsidR="004135F3" w:rsidRDefault="00B812E5">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ind w:left="720"/>
        <w:jc w:val="center"/>
        <w:rPr>
          <w:rFonts w:ascii="Times New Roman" w:hAnsi="Times New Roman" w:cs="Times New Roman"/>
          <w:b/>
          <w:bCs/>
          <w:sz w:val="28"/>
          <w:szCs w:val="28"/>
        </w:rPr>
      </w:pPr>
      <w:r>
        <w:rPr>
          <w:rFonts w:ascii="Times New Roman" w:hAnsi="Times New Roman" w:cs="Times New Roman"/>
          <w:b/>
          <w:bCs/>
          <w:sz w:val="28"/>
          <w:szCs w:val="28"/>
        </w:rPr>
        <w:t>Список цитируемой литературы</w:t>
      </w:r>
    </w:p>
    <w:p w14:paraId="0E11BC89" w14:textId="77777777" w:rsidR="004135F3" w:rsidRDefault="004135F3">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sz w:val="28"/>
          <w:szCs w:val="28"/>
        </w:rPr>
      </w:pPr>
    </w:p>
    <w:p w14:paraId="597A9721" w14:textId="58F6BB23" w:rsidR="004135F3" w:rsidRDefault="00B812E5">
      <w:pPr>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D0411">
        <w:rPr>
          <w:rFonts w:ascii="Times New Roman" w:hAnsi="Times New Roman" w:cs="Times New Roman"/>
          <w:sz w:val="28"/>
          <w:szCs w:val="28"/>
        </w:rPr>
        <w:t>Попова А.В.</w:t>
      </w:r>
      <w:r>
        <w:rPr>
          <w:rFonts w:ascii="Times New Roman" w:hAnsi="Times New Roman" w:cs="Times New Roman"/>
          <w:sz w:val="28"/>
          <w:szCs w:val="28"/>
        </w:rPr>
        <w:t xml:space="preserve"> </w:t>
      </w:r>
      <w:r w:rsidR="009D0411">
        <w:rPr>
          <w:rFonts w:ascii="Times New Roman" w:hAnsi="Times New Roman" w:cs="Times New Roman"/>
          <w:sz w:val="28"/>
          <w:szCs w:val="28"/>
        </w:rPr>
        <w:t>История государства и права зарубежных стран Нового и Новейшего времени</w:t>
      </w:r>
      <w:r>
        <w:rPr>
          <w:rFonts w:ascii="Times New Roman" w:hAnsi="Times New Roman" w:cs="Times New Roman"/>
          <w:sz w:val="28"/>
          <w:szCs w:val="28"/>
        </w:rPr>
        <w:t xml:space="preserve">: учебник для ВУЗов / </w:t>
      </w:r>
      <w:r w:rsidR="009D0411">
        <w:rPr>
          <w:rFonts w:ascii="Times New Roman" w:hAnsi="Times New Roman" w:cs="Times New Roman"/>
          <w:sz w:val="28"/>
          <w:szCs w:val="28"/>
        </w:rPr>
        <w:t xml:space="preserve">А.В. Попова; </w:t>
      </w:r>
      <w:r>
        <w:rPr>
          <w:rFonts w:ascii="Times New Roman" w:hAnsi="Times New Roman" w:cs="Times New Roman"/>
          <w:sz w:val="28"/>
          <w:szCs w:val="28"/>
        </w:rPr>
        <w:t xml:space="preserve">Москва: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202</w:t>
      </w:r>
      <w:r w:rsidR="009D0411">
        <w:rPr>
          <w:rFonts w:ascii="Times New Roman" w:hAnsi="Times New Roman" w:cs="Times New Roman"/>
          <w:sz w:val="28"/>
          <w:szCs w:val="28"/>
        </w:rPr>
        <w:t>6</w:t>
      </w:r>
      <w:r>
        <w:rPr>
          <w:rFonts w:ascii="Times New Roman" w:hAnsi="Times New Roman" w:cs="Times New Roman"/>
          <w:sz w:val="28"/>
          <w:szCs w:val="28"/>
        </w:rPr>
        <w:t xml:space="preserve">. - </w:t>
      </w:r>
      <w:r w:rsidR="009D0411">
        <w:rPr>
          <w:rFonts w:ascii="Times New Roman" w:hAnsi="Times New Roman" w:cs="Times New Roman"/>
          <w:sz w:val="28"/>
          <w:szCs w:val="28"/>
        </w:rPr>
        <w:t>226</w:t>
      </w:r>
      <w:r>
        <w:rPr>
          <w:rFonts w:ascii="Times New Roman" w:hAnsi="Times New Roman" w:cs="Times New Roman"/>
          <w:sz w:val="28"/>
          <w:szCs w:val="28"/>
        </w:rPr>
        <w:t xml:space="preserve"> с.</w:t>
      </w:r>
    </w:p>
    <w:p w14:paraId="4F04B224" w14:textId="2159D952" w:rsidR="004135F3" w:rsidRDefault="00764F90">
      <w:pPr>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Сосковец Л.И.</w:t>
      </w:r>
      <w:r w:rsidR="009D0411">
        <w:rPr>
          <w:rFonts w:ascii="Times New Roman" w:hAnsi="Times New Roman" w:cs="Times New Roman"/>
          <w:sz w:val="28"/>
          <w:szCs w:val="28"/>
        </w:rPr>
        <w:t xml:space="preserve"> </w:t>
      </w:r>
      <w:r>
        <w:rPr>
          <w:rFonts w:ascii="Times New Roman" w:hAnsi="Times New Roman" w:cs="Times New Roman"/>
          <w:sz w:val="28"/>
          <w:szCs w:val="28"/>
        </w:rPr>
        <w:t>Политическая система Японии до 2020-х годов</w:t>
      </w:r>
      <w:r w:rsidR="00B812E5">
        <w:rPr>
          <w:rFonts w:ascii="Times New Roman" w:hAnsi="Times New Roman" w:cs="Times New Roman"/>
          <w:sz w:val="28"/>
          <w:szCs w:val="28"/>
        </w:rPr>
        <w:t>: учебн</w:t>
      </w:r>
      <w:r>
        <w:rPr>
          <w:rFonts w:ascii="Times New Roman" w:hAnsi="Times New Roman" w:cs="Times New Roman"/>
          <w:sz w:val="28"/>
          <w:szCs w:val="28"/>
        </w:rPr>
        <w:t xml:space="preserve">ое пособие </w:t>
      </w:r>
      <w:r w:rsidR="00B812E5">
        <w:rPr>
          <w:rFonts w:ascii="Times New Roman" w:hAnsi="Times New Roman" w:cs="Times New Roman"/>
          <w:sz w:val="28"/>
          <w:szCs w:val="28"/>
        </w:rPr>
        <w:t xml:space="preserve">для ВУЗов / </w:t>
      </w:r>
      <w:r>
        <w:rPr>
          <w:rFonts w:ascii="Times New Roman" w:hAnsi="Times New Roman" w:cs="Times New Roman"/>
          <w:sz w:val="28"/>
          <w:szCs w:val="28"/>
        </w:rPr>
        <w:t>Л.И. Сосковец</w:t>
      </w:r>
      <w:r w:rsidR="00B812E5">
        <w:rPr>
          <w:rFonts w:ascii="Times New Roman" w:hAnsi="Times New Roman" w:cs="Times New Roman"/>
          <w:sz w:val="28"/>
          <w:szCs w:val="28"/>
        </w:rPr>
        <w:t xml:space="preserve">; - Москва: Издательство </w:t>
      </w:r>
      <w:proofErr w:type="spellStart"/>
      <w:r w:rsidR="00B812E5">
        <w:rPr>
          <w:rFonts w:ascii="Times New Roman" w:hAnsi="Times New Roman" w:cs="Times New Roman"/>
          <w:sz w:val="28"/>
          <w:szCs w:val="28"/>
        </w:rPr>
        <w:t>Юрайт</w:t>
      </w:r>
      <w:proofErr w:type="spellEnd"/>
      <w:r w:rsidR="00B812E5">
        <w:rPr>
          <w:rFonts w:ascii="Times New Roman" w:hAnsi="Times New Roman" w:cs="Times New Roman"/>
          <w:sz w:val="28"/>
          <w:szCs w:val="28"/>
        </w:rPr>
        <w:t xml:space="preserve">, 2025. - </w:t>
      </w:r>
      <w:r>
        <w:rPr>
          <w:rFonts w:ascii="Times New Roman" w:hAnsi="Times New Roman" w:cs="Times New Roman"/>
          <w:sz w:val="28"/>
          <w:szCs w:val="28"/>
        </w:rPr>
        <w:t>157</w:t>
      </w:r>
      <w:r w:rsidR="00B812E5">
        <w:rPr>
          <w:rFonts w:ascii="Times New Roman" w:hAnsi="Times New Roman" w:cs="Times New Roman"/>
          <w:sz w:val="28"/>
          <w:szCs w:val="28"/>
        </w:rPr>
        <w:t xml:space="preserve"> с.</w:t>
      </w:r>
    </w:p>
    <w:p w14:paraId="0232F12A" w14:textId="5C77520B" w:rsidR="004135F3" w:rsidRDefault="00BF73FC">
      <w:pPr>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Сафонов В.Е.</w:t>
      </w:r>
      <w:r w:rsidR="00B812E5">
        <w:rPr>
          <w:rFonts w:ascii="Times New Roman" w:hAnsi="Times New Roman" w:cs="Times New Roman"/>
          <w:sz w:val="28"/>
          <w:szCs w:val="28"/>
        </w:rPr>
        <w:t xml:space="preserve"> </w:t>
      </w:r>
      <w:r>
        <w:rPr>
          <w:rFonts w:ascii="Times New Roman" w:hAnsi="Times New Roman" w:cs="Times New Roman"/>
          <w:sz w:val="28"/>
          <w:szCs w:val="28"/>
        </w:rPr>
        <w:t>Конституционное право зарубежных стран. Общая часть:</w:t>
      </w:r>
      <w:r w:rsidR="00B812E5">
        <w:rPr>
          <w:rFonts w:ascii="Times New Roman" w:hAnsi="Times New Roman" w:cs="Times New Roman"/>
          <w:sz w:val="28"/>
          <w:szCs w:val="28"/>
        </w:rPr>
        <w:t xml:space="preserve"> учеб</w:t>
      </w:r>
      <w:r>
        <w:rPr>
          <w:rFonts w:ascii="Times New Roman" w:hAnsi="Times New Roman" w:cs="Times New Roman"/>
          <w:sz w:val="28"/>
          <w:szCs w:val="28"/>
        </w:rPr>
        <w:t>ник</w:t>
      </w:r>
      <w:r w:rsidR="00B812E5">
        <w:rPr>
          <w:rFonts w:ascii="Times New Roman" w:hAnsi="Times New Roman" w:cs="Times New Roman"/>
          <w:sz w:val="28"/>
          <w:szCs w:val="28"/>
        </w:rPr>
        <w:t xml:space="preserve"> для ВУЗов / </w:t>
      </w:r>
      <w:r>
        <w:rPr>
          <w:rFonts w:ascii="Times New Roman" w:hAnsi="Times New Roman" w:cs="Times New Roman"/>
          <w:sz w:val="28"/>
          <w:szCs w:val="28"/>
        </w:rPr>
        <w:t xml:space="preserve">В.Е. </w:t>
      </w:r>
      <w:proofErr w:type="gramStart"/>
      <w:r>
        <w:rPr>
          <w:rFonts w:ascii="Times New Roman" w:hAnsi="Times New Roman" w:cs="Times New Roman"/>
          <w:sz w:val="28"/>
          <w:szCs w:val="28"/>
        </w:rPr>
        <w:t>Сафонов</w:t>
      </w:r>
      <w:r w:rsidR="00B812E5">
        <w:rPr>
          <w:rFonts w:ascii="Times New Roman" w:hAnsi="Times New Roman" w:cs="Times New Roman"/>
          <w:sz w:val="28"/>
          <w:szCs w:val="28"/>
        </w:rPr>
        <w:t>;-</w:t>
      </w:r>
      <w:proofErr w:type="gramEnd"/>
      <w:r w:rsidR="00B812E5">
        <w:rPr>
          <w:rFonts w:ascii="Times New Roman" w:hAnsi="Times New Roman" w:cs="Times New Roman"/>
          <w:sz w:val="28"/>
          <w:szCs w:val="28"/>
        </w:rPr>
        <w:t xml:space="preserve"> Москва: Издательство </w:t>
      </w:r>
      <w:proofErr w:type="spellStart"/>
      <w:r w:rsidR="00B812E5">
        <w:rPr>
          <w:rFonts w:ascii="Times New Roman" w:hAnsi="Times New Roman" w:cs="Times New Roman"/>
          <w:sz w:val="28"/>
          <w:szCs w:val="28"/>
        </w:rPr>
        <w:t>Юрайт</w:t>
      </w:r>
      <w:proofErr w:type="spellEnd"/>
      <w:r w:rsidR="00B812E5">
        <w:rPr>
          <w:rFonts w:ascii="Times New Roman" w:hAnsi="Times New Roman" w:cs="Times New Roman"/>
          <w:sz w:val="28"/>
          <w:szCs w:val="28"/>
        </w:rPr>
        <w:t>, 2025. - 207 с.</w:t>
      </w:r>
    </w:p>
    <w:p w14:paraId="775A82D0" w14:textId="08B7731D" w:rsidR="004135F3" w:rsidRDefault="00764F90">
      <w:pPr>
        <w:numPr>
          <w:ilvl w:val="0"/>
          <w:numId w:val="3"/>
        </w:numPr>
        <w:spacing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Григонис</w:t>
      </w:r>
      <w:proofErr w:type="spellEnd"/>
      <w:r>
        <w:rPr>
          <w:rFonts w:ascii="Times New Roman" w:hAnsi="Times New Roman" w:cs="Times New Roman"/>
          <w:sz w:val="28"/>
          <w:szCs w:val="28"/>
        </w:rPr>
        <w:t xml:space="preserve"> В.П.</w:t>
      </w:r>
      <w:r w:rsidR="00B812E5">
        <w:rPr>
          <w:rFonts w:ascii="Times New Roman" w:hAnsi="Times New Roman" w:cs="Times New Roman"/>
          <w:sz w:val="28"/>
          <w:szCs w:val="28"/>
        </w:rPr>
        <w:t xml:space="preserve">  </w:t>
      </w:r>
      <w:r>
        <w:rPr>
          <w:rFonts w:ascii="Times New Roman" w:hAnsi="Times New Roman" w:cs="Times New Roman"/>
          <w:sz w:val="28"/>
          <w:szCs w:val="28"/>
        </w:rPr>
        <w:t>Модели социального государства в Зарубежных странах</w:t>
      </w:r>
      <w:r w:rsidR="00B812E5">
        <w:rPr>
          <w:rFonts w:ascii="Times New Roman" w:hAnsi="Times New Roman" w:cs="Times New Roman"/>
          <w:sz w:val="28"/>
          <w:szCs w:val="28"/>
        </w:rPr>
        <w:t xml:space="preserve"> / </w:t>
      </w:r>
      <w:r>
        <w:rPr>
          <w:rFonts w:ascii="Times New Roman" w:hAnsi="Times New Roman" w:cs="Times New Roman"/>
          <w:sz w:val="28"/>
          <w:szCs w:val="28"/>
        </w:rPr>
        <w:t xml:space="preserve">В.П. </w:t>
      </w:r>
      <w:proofErr w:type="spellStart"/>
      <w:r>
        <w:rPr>
          <w:rFonts w:ascii="Times New Roman" w:hAnsi="Times New Roman" w:cs="Times New Roman"/>
          <w:sz w:val="28"/>
          <w:szCs w:val="28"/>
        </w:rPr>
        <w:t>григонис</w:t>
      </w:r>
      <w:proofErr w:type="spellEnd"/>
      <w:r w:rsidR="00B812E5">
        <w:rPr>
          <w:rFonts w:ascii="Times New Roman" w:hAnsi="Times New Roman" w:cs="Times New Roman"/>
          <w:sz w:val="28"/>
          <w:szCs w:val="28"/>
        </w:rPr>
        <w:t xml:space="preserve"> // Вестник науки. - 20</w:t>
      </w:r>
      <w:r>
        <w:rPr>
          <w:rFonts w:ascii="Times New Roman" w:hAnsi="Times New Roman" w:cs="Times New Roman"/>
          <w:sz w:val="28"/>
          <w:szCs w:val="28"/>
        </w:rPr>
        <w:t>25</w:t>
      </w:r>
      <w:r w:rsidR="00B812E5">
        <w:rPr>
          <w:rFonts w:ascii="Times New Roman" w:hAnsi="Times New Roman" w:cs="Times New Roman"/>
          <w:sz w:val="28"/>
          <w:szCs w:val="28"/>
        </w:rPr>
        <w:t xml:space="preserve">. </w:t>
      </w:r>
      <w:r w:rsidR="00BF73FC">
        <w:rPr>
          <w:rFonts w:ascii="Times New Roman" w:hAnsi="Times New Roman" w:cs="Times New Roman"/>
          <w:sz w:val="28"/>
          <w:szCs w:val="28"/>
        </w:rPr>
        <w:t>– 35</w:t>
      </w:r>
      <w:r>
        <w:rPr>
          <w:rFonts w:ascii="Times New Roman" w:hAnsi="Times New Roman" w:cs="Times New Roman"/>
          <w:sz w:val="28"/>
          <w:szCs w:val="28"/>
        </w:rPr>
        <w:t>-43</w:t>
      </w:r>
      <w:r w:rsidR="00BF73FC">
        <w:rPr>
          <w:rFonts w:ascii="Times New Roman" w:hAnsi="Times New Roman" w:cs="Times New Roman"/>
          <w:sz w:val="28"/>
          <w:szCs w:val="28"/>
        </w:rPr>
        <w:t xml:space="preserve"> с</w:t>
      </w:r>
      <w:r w:rsidR="00B812E5">
        <w:rPr>
          <w:rFonts w:ascii="Times New Roman" w:hAnsi="Times New Roman" w:cs="Times New Roman"/>
          <w:sz w:val="28"/>
          <w:szCs w:val="28"/>
        </w:rPr>
        <w:t>.</w:t>
      </w:r>
    </w:p>
    <w:p w14:paraId="66596C5C" w14:textId="73A845CF" w:rsidR="004135F3" w:rsidRDefault="00764F90">
      <w:pPr>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Золотарева А.А. Форма государства: исторический опыт и современные проблемы</w:t>
      </w:r>
      <w:r w:rsidR="00B812E5">
        <w:rPr>
          <w:rFonts w:ascii="Times New Roman" w:hAnsi="Times New Roman" w:cs="Times New Roman"/>
          <w:sz w:val="28"/>
          <w:szCs w:val="28"/>
        </w:rPr>
        <w:t xml:space="preserve">/ </w:t>
      </w:r>
      <w:r>
        <w:rPr>
          <w:rFonts w:ascii="Times New Roman" w:hAnsi="Times New Roman" w:cs="Times New Roman"/>
          <w:sz w:val="28"/>
          <w:szCs w:val="28"/>
        </w:rPr>
        <w:t>А.А. Золотарева</w:t>
      </w:r>
      <w:r w:rsidR="00BF73FC">
        <w:rPr>
          <w:rFonts w:ascii="Times New Roman" w:hAnsi="Times New Roman" w:cs="Times New Roman"/>
          <w:sz w:val="28"/>
          <w:szCs w:val="28"/>
        </w:rPr>
        <w:t xml:space="preserve"> </w:t>
      </w:r>
      <w:r w:rsidR="00B812E5">
        <w:rPr>
          <w:rFonts w:ascii="Times New Roman" w:hAnsi="Times New Roman" w:cs="Times New Roman"/>
          <w:sz w:val="28"/>
          <w:szCs w:val="28"/>
        </w:rPr>
        <w:t>//</w:t>
      </w:r>
      <w:r>
        <w:rPr>
          <w:rFonts w:ascii="Times New Roman" w:hAnsi="Times New Roman" w:cs="Times New Roman"/>
          <w:sz w:val="28"/>
          <w:szCs w:val="28"/>
        </w:rPr>
        <w:t xml:space="preserve"> Вестник науки</w:t>
      </w:r>
      <w:r w:rsidR="00B812E5">
        <w:rPr>
          <w:rFonts w:ascii="Times New Roman" w:hAnsi="Times New Roman" w:cs="Times New Roman"/>
          <w:sz w:val="28"/>
          <w:szCs w:val="28"/>
        </w:rPr>
        <w:t xml:space="preserve">. - 2025. </w:t>
      </w:r>
      <w:r w:rsidR="00BF73FC">
        <w:rPr>
          <w:rFonts w:ascii="Times New Roman" w:hAnsi="Times New Roman" w:cs="Times New Roman"/>
          <w:sz w:val="28"/>
          <w:szCs w:val="28"/>
        </w:rPr>
        <w:t>–</w:t>
      </w:r>
      <w:r w:rsidR="00B812E5">
        <w:rPr>
          <w:rFonts w:ascii="Times New Roman" w:hAnsi="Times New Roman" w:cs="Times New Roman"/>
          <w:sz w:val="28"/>
          <w:szCs w:val="28"/>
        </w:rPr>
        <w:t xml:space="preserve"> </w:t>
      </w:r>
      <w:r w:rsidR="00BF73FC">
        <w:rPr>
          <w:rFonts w:ascii="Times New Roman" w:hAnsi="Times New Roman" w:cs="Times New Roman"/>
          <w:sz w:val="28"/>
          <w:szCs w:val="28"/>
        </w:rPr>
        <w:t>12</w:t>
      </w:r>
      <w:r>
        <w:rPr>
          <w:rFonts w:ascii="Times New Roman" w:hAnsi="Times New Roman" w:cs="Times New Roman"/>
          <w:sz w:val="28"/>
          <w:szCs w:val="28"/>
        </w:rPr>
        <w:t>-18</w:t>
      </w:r>
      <w:r w:rsidR="00BF73FC">
        <w:rPr>
          <w:rFonts w:ascii="Times New Roman" w:hAnsi="Times New Roman" w:cs="Times New Roman"/>
          <w:sz w:val="28"/>
          <w:szCs w:val="28"/>
        </w:rPr>
        <w:t xml:space="preserve"> </w:t>
      </w:r>
      <w:r w:rsidR="00B812E5">
        <w:rPr>
          <w:rFonts w:ascii="Times New Roman" w:hAnsi="Times New Roman" w:cs="Times New Roman"/>
          <w:sz w:val="28"/>
          <w:szCs w:val="28"/>
        </w:rPr>
        <w:t xml:space="preserve">с. </w:t>
      </w:r>
    </w:p>
    <w:p w14:paraId="0F9EED80" w14:textId="77777777" w:rsidR="004135F3" w:rsidRDefault="004135F3">
      <w:pPr>
        <w:spacing w:line="240" w:lineRule="auto"/>
        <w:ind w:left="1286"/>
        <w:jc w:val="both"/>
        <w:rPr>
          <w:rFonts w:ascii="Times New Roman" w:hAnsi="Times New Roman" w:cs="Times New Roman"/>
          <w:sz w:val="28"/>
          <w:szCs w:val="28"/>
        </w:rPr>
      </w:pPr>
    </w:p>
    <w:p w14:paraId="5F0A0670" w14:textId="77777777" w:rsidR="004135F3" w:rsidRDefault="004135F3">
      <w:pPr>
        <w:pBdr>
          <w:top w:val="none" w:sz="4" w:space="0" w:color="auto"/>
          <w:left w:val="none" w:sz="4" w:space="0" w:color="auto"/>
          <w:bottom w:val="none" w:sz="4" w:space="0" w:color="auto"/>
          <w:right w:val="none" w:sz="4" w:space="0" w:color="auto"/>
          <w:between w:val="none" w:sz="4" w:space="0" w:color="auto"/>
          <w:bar w:val="none" w:sz="4" w:color="auto"/>
        </w:pBdr>
        <w:spacing w:after="120" w:line="240" w:lineRule="auto"/>
        <w:jc w:val="both"/>
        <w:rPr>
          <w:rFonts w:ascii="Times New Roman" w:hAnsi="Times New Roman" w:cs="Times New Roman"/>
          <w:sz w:val="28"/>
          <w:szCs w:val="28"/>
        </w:rPr>
      </w:pPr>
    </w:p>
    <w:sectPr w:rsidR="004135F3">
      <w:pgSz w:w="11908" w:h="16833"/>
      <w:pgMar w:top="1440" w:right="1440" w:bottom="1440" w:left="1440" w:header="708" w:footer="708" w:gutter="0"/>
      <w:paperSrc w:first="1" w:other="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5904"/>
    <w:multiLevelType w:val="hybridMultilevel"/>
    <w:tmpl w:val="86701F5A"/>
    <w:lvl w:ilvl="0" w:tplc="0F1ADEF6">
      <w:start w:val="1"/>
      <w:numFmt w:val="decimal"/>
      <w:lvlText w:val="%1."/>
      <w:lvlJc w:val="left"/>
      <w:pPr>
        <w:ind w:left="720" w:hanging="360"/>
      </w:pPr>
    </w:lvl>
    <w:lvl w:ilvl="1" w:tplc="00D2B522" w:tentative="1">
      <w:start w:val="1"/>
      <w:numFmt w:val="lowerLetter"/>
      <w:lvlText w:val="%2."/>
      <w:lvlJc w:val="left"/>
      <w:pPr>
        <w:ind w:left="1440" w:hanging="360"/>
      </w:pPr>
    </w:lvl>
    <w:lvl w:ilvl="2" w:tplc="74C8B670" w:tentative="1">
      <w:start w:val="1"/>
      <w:numFmt w:val="lowerRoman"/>
      <w:lvlText w:val="%3."/>
      <w:lvlJc w:val="right"/>
      <w:pPr>
        <w:ind w:left="2160" w:hanging="360"/>
      </w:pPr>
    </w:lvl>
    <w:lvl w:ilvl="3" w:tplc="879AC706" w:tentative="1">
      <w:start w:val="1"/>
      <w:numFmt w:val="decimal"/>
      <w:lvlText w:val="%4."/>
      <w:lvlJc w:val="left"/>
      <w:pPr>
        <w:ind w:left="2880" w:hanging="360"/>
      </w:pPr>
    </w:lvl>
    <w:lvl w:ilvl="4" w:tplc="BCE2B7C4" w:tentative="1">
      <w:start w:val="1"/>
      <w:numFmt w:val="lowerLetter"/>
      <w:lvlText w:val="%5."/>
      <w:lvlJc w:val="left"/>
      <w:pPr>
        <w:ind w:left="3600" w:hanging="360"/>
      </w:pPr>
    </w:lvl>
    <w:lvl w:ilvl="5" w:tplc="863E687C" w:tentative="1">
      <w:start w:val="1"/>
      <w:numFmt w:val="lowerRoman"/>
      <w:lvlText w:val="%6."/>
      <w:lvlJc w:val="right"/>
      <w:pPr>
        <w:ind w:left="4320" w:hanging="360"/>
      </w:pPr>
    </w:lvl>
    <w:lvl w:ilvl="6" w:tplc="E488E33C" w:tentative="1">
      <w:start w:val="1"/>
      <w:numFmt w:val="decimal"/>
      <w:lvlText w:val="%7."/>
      <w:lvlJc w:val="left"/>
      <w:pPr>
        <w:ind w:left="5040" w:hanging="360"/>
      </w:pPr>
    </w:lvl>
    <w:lvl w:ilvl="7" w:tplc="12908680" w:tentative="1">
      <w:start w:val="1"/>
      <w:numFmt w:val="lowerLetter"/>
      <w:lvlText w:val="%8."/>
      <w:lvlJc w:val="left"/>
      <w:pPr>
        <w:ind w:left="5760" w:hanging="360"/>
      </w:pPr>
    </w:lvl>
    <w:lvl w:ilvl="8" w:tplc="5FAA6E2E" w:tentative="1">
      <w:start w:val="1"/>
      <w:numFmt w:val="lowerRoman"/>
      <w:lvlText w:val="%9."/>
      <w:lvlJc w:val="right"/>
      <w:pPr>
        <w:ind w:left="6480" w:hanging="360"/>
      </w:pPr>
    </w:lvl>
  </w:abstractNum>
  <w:abstractNum w:abstractNumId="1" w15:restartNumberingAfterBreak="0">
    <w:nsid w:val="25846DD6"/>
    <w:multiLevelType w:val="hybridMultilevel"/>
    <w:tmpl w:val="D5F84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4B6814"/>
    <w:multiLevelType w:val="hybridMultilevel"/>
    <w:tmpl w:val="4196A2DE"/>
    <w:lvl w:ilvl="0" w:tplc="C7DA8ED8">
      <w:start w:val="1"/>
      <w:numFmt w:val="decimal"/>
      <w:lvlText w:val="%1."/>
      <w:lvlJc w:val="left"/>
      <w:pPr>
        <w:ind w:left="1286" w:hanging="360"/>
      </w:pPr>
    </w:lvl>
    <w:lvl w:ilvl="1" w:tplc="986CD204" w:tentative="1">
      <w:start w:val="1"/>
      <w:numFmt w:val="lowerLetter"/>
      <w:lvlText w:val="%2."/>
      <w:lvlJc w:val="left"/>
      <w:pPr>
        <w:ind w:left="2006" w:hanging="360"/>
      </w:pPr>
    </w:lvl>
    <w:lvl w:ilvl="2" w:tplc="6C9AEE3C" w:tentative="1">
      <w:start w:val="1"/>
      <w:numFmt w:val="lowerRoman"/>
      <w:lvlText w:val="%3."/>
      <w:lvlJc w:val="right"/>
      <w:pPr>
        <w:ind w:left="2727" w:hanging="360"/>
      </w:pPr>
    </w:lvl>
    <w:lvl w:ilvl="3" w:tplc="21DEB464" w:tentative="1">
      <w:start w:val="1"/>
      <w:numFmt w:val="decimal"/>
      <w:lvlText w:val="%4."/>
      <w:lvlJc w:val="left"/>
      <w:pPr>
        <w:ind w:left="3447" w:hanging="360"/>
      </w:pPr>
    </w:lvl>
    <w:lvl w:ilvl="4" w:tplc="F5848900" w:tentative="1">
      <w:start w:val="1"/>
      <w:numFmt w:val="lowerLetter"/>
      <w:lvlText w:val="%5."/>
      <w:lvlJc w:val="left"/>
      <w:pPr>
        <w:ind w:left="4167" w:hanging="360"/>
      </w:pPr>
    </w:lvl>
    <w:lvl w:ilvl="5" w:tplc="24F675E2" w:tentative="1">
      <w:start w:val="1"/>
      <w:numFmt w:val="lowerRoman"/>
      <w:lvlText w:val="%6."/>
      <w:lvlJc w:val="right"/>
      <w:pPr>
        <w:ind w:left="4887" w:hanging="360"/>
      </w:pPr>
    </w:lvl>
    <w:lvl w:ilvl="6" w:tplc="CC2065A2" w:tentative="1">
      <w:start w:val="1"/>
      <w:numFmt w:val="decimal"/>
      <w:lvlText w:val="%7."/>
      <w:lvlJc w:val="left"/>
      <w:pPr>
        <w:ind w:left="5607" w:hanging="360"/>
      </w:pPr>
    </w:lvl>
    <w:lvl w:ilvl="7" w:tplc="67583B64" w:tentative="1">
      <w:start w:val="1"/>
      <w:numFmt w:val="lowerLetter"/>
      <w:lvlText w:val="%8."/>
      <w:lvlJc w:val="left"/>
      <w:pPr>
        <w:ind w:left="6327" w:hanging="360"/>
      </w:pPr>
    </w:lvl>
    <w:lvl w:ilvl="8" w:tplc="B92C46DC" w:tentative="1">
      <w:start w:val="1"/>
      <w:numFmt w:val="lowerRoman"/>
      <w:lvlText w:val="%9."/>
      <w:lvlJc w:val="right"/>
      <w:pPr>
        <w:ind w:left="7047" w:hanging="360"/>
      </w:pPr>
    </w:lvl>
  </w:abstractNum>
  <w:abstractNum w:abstractNumId="3" w15:restartNumberingAfterBreak="0">
    <w:nsid w:val="2F115999"/>
    <w:multiLevelType w:val="hybridMultilevel"/>
    <w:tmpl w:val="9BF22C76"/>
    <w:lvl w:ilvl="0" w:tplc="0419000D">
      <w:start w:val="1"/>
      <w:numFmt w:val="bullet"/>
      <w:lvlText w:val=""/>
      <w:lvlJc w:val="left"/>
      <w:pPr>
        <w:ind w:left="1786" w:hanging="360"/>
      </w:pPr>
      <w:rPr>
        <w:rFonts w:ascii="Wingdings" w:hAnsi="Wingdings"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4" w15:restartNumberingAfterBreak="0">
    <w:nsid w:val="41075D94"/>
    <w:multiLevelType w:val="hybridMultilevel"/>
    <w:tmpl w:val="61C2E568"/>
    <w:lvl w:ilvl="0" w:tplc="6D72461A">
      <w:start w:val="1"/>
      <w:numFmt w:val="decimal"/>
      <w:lvlText w:val="%1."/>
      <w:lvlJc w:val="left"/>
      <w:pPr>
        <w:ind w:left="720" w:hanging="360"/>
      </w:pPr>
    </w:lvl>
    <w:lvl w:ilvl="1" w:tplc="E1ECAE36" w:tentative="1">
      <w:start w:val="1"/>
      <w:numFmt w:val="lowerLetter"/>
      <w:lvlText w:val="%2."/>
      <w:lvlJc w:val="left"/>
      <w:pPr>
        <w:ind w:left="1440" w:hanging="360"/>
      </w:pPr>
    </w:lvl>
    <w:lvl w:ilvl="2" w:tplc="0478C224" w:tentative="1">
      <w:start w:val="1"/>
      <w:numFmt w:val="lowerRoman"/>
      <w:lvlText w:val="%3."/>
      <w:lvlJc w:val="right"/>
      <w:pPr>
        <w:ind w:left="2160" w:hanging="360"/>
      </w:pPr>
    </w:lvl>
    <w:lvl w:ilvl="3" w:tplc="54188A54" w:tentative="1">
      <w:start w:val="1"/>
      <w:numFmt w:val="decimal"/>
      <w:lvlText w:val="%4."/>
      <w:lvlJc w:val="left"/>
      <w:pPr>
        <w:ind w:left="2880" w:hanging="360"/>
      </w:pPr>
    </w:lvl>
    <w:lvl w:ilvl="4" w:tplc="3C62F806" w:tentative="1">
      <w:start w:val="1"/>
      <w:numFmt w:val="lowerLetter"/>
      <w:lvlText w:val="%5."/>
      <w:lvlJc w:val="left"/>
      <w:pPr>
        <w:ind w:left="3600" w:hanging="360"/>
      </w:pPr>
    </w:lvl>
    <w:lvl w:ilvl="5" w:tplc="9BBADF8E" w:tentative="1">
      <w:start w:val="1"/>
      <w:numFmt w:val="lowerRoman"/>
      <w:lvlText w:val="%6."/>
      <w:lvlJc w:val="right"/>
      <w:pPr>
        <w:ind w:left="4320" w:hanging="360"/>
      </w:pPr>
    </w:lvl>
    <w:lvl w:ilvl="6" w:tplc="F9222146" w:tentative="1">
      <w:start w:val="1"/>
      <w:numFmt w:val="decimal"/>
      <w:lvlText w:val="%7."/>
      <w:lvlJc w:val="left"/>
      <w:pPr>
        <w:ind w:left="5040" w:hanging="360"/>
      </w:pPr>
    </w:lvl>
    <w:lvl w:ilvl="7" w:tplc="FA065FFA" w:tentative="1">
      <w:start w:val="1"/>
      <w:numFmt w:val="lowerLetter"/>
      <w:lvlText w:val="%8."/>
      <w:lvlJc w:val="left"/>
      <w:pPr>
        <w:ind w:left="5760" w:hanging="360"/>
      </w:pPr>
    </w:lvl>
    <w:lvl w:ilvl="8" w:tplc="85A0ECAC" w:tentative="1">
      <w:start w:val="1"/>
      <w:numFmt w:val="lowerRoman"/>
      <w:lvlText w:val="%9."/>
      <w:lvlJc w:val="right"/>
      <w:pPr>
        <w:ind w:left="6480" w:hanging="36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F3"/>
    <w:rsid w:val="004135F3"/>
    <w:rsid w:val="0049057E"/>
    <w:rsid w:val="005D6B00"/>
    <w:rsid w:val="00764F90"/>
    <w:rsid w:val="009D0411"/>
    <w:rsid w:val="00B812E5"/>
    <w:rsid w:val="00BF73F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0766F"/>
  <w15:docId w15:val="{4BE5283A-23DD-4523-B54C-01D2847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10">
    <w:name w:val="Заголовок 1 Знак"/>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Pr>
      <w:rFonts w:asciiTheme="majorHAnsi" w:eastAsiaTheme="majorEastAsia" w:hAnsiTheme="majorHAnsi" w:cstheme="majorBidi"/>
      <w:i/>
      <w:iCs/>
      <w:color w:val="404040" w:themeColor="text1" w:themeTint="BF"/>
      <w:sz w:val="20"/>
      <w:szCs w:val="20"/>
    </w:rPr>
  </w:style>
  <w:style w:type="paragraph" w:styleId="a4">
    <w:name w:val="Title"/>
    <w:basedOn w:val="a"/>
    <w:next w:val="a"/>
    <w:link w:val="a5"/>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5">
    <w:name w:val="Заголовок Знак"/>
    <w:basedOn w:val="a0"/>
    <w:link w:val="a4"/>
    <w:uiPriority w:val="10"/>
    <w:rPr>
      <w:rFonts w:asciiTheme="majorHAnsi" w:eastAsiaTheme="majorEastAsia" w:hAnsiTheme="majorHAnsi" w:cstheme="majorBidi"/>
      <w:color w:val="323E4F" w:themeColor="text2" w:themeShade="BF"/>
      <w:spacing w:val="5"/>
      <w:sz w:val="52"/>
      <w:szCs w:val="52"/>
    </w:rPr>
  </w:style>
  <w:style w:type="paragraph" w:styleId="a6">
    <w:name w:val="Subtitle"/>
    <w:basedOn w:val="a"/>
    <w:next w:val="a"/>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Pr>
      <w:rFonts w:asciiTheme="majorHAnsi" w:eastAsiaTheme="majorEastAsia" w:hAnsiTheme="majorHAnsi" w:cstheme="majorBidi"/>
      <w:i/>
      <w:iCs/>
      <w:color w:val="4472C4" w:themeColor="accent1"/>
      <w:spacing w:val="15"/>
      <w:sz w:val="24"/>
      <w:szCs w:val="24"/>
    </w:rPr>
  </w:style>
  <w:style w:type="character" w:styleId="a8">
    <w:name w:val="Subtle Emphasis"/>
    <w:basedOn w:val="a0"/>
    <w:uiPriority w:val="19"/>
    <w:qFormat/>
    <w:rPr>
      <w:i/>
      <w:iCs/>
      <w:color w:val="808080" w:themeColor="text1" w:themeTint="7F"/>
    </w:rPr>
  </w:style>
  <w:style w:type="character" w:styleId="a9">
    <w:name w:val="Emphasis"/>
    <w:basedOn w:val="a0"/>
    <w:uiPriority w:val="20"/>
    <w:qFormat/>
    <w:rPr>
      <w:i/>
      <w:iCs/>
    </w:rPr>
  </w:style>
  <w:style w:type="character" w:styleId="aa">
    <w:name w:val="Intense Emphasis"/>
    <w:basedOn w:val="a0"/>
    <w:uiPriority w:val="21"/>
    <w:qFormat/>
    <w:rPr>
      <w:b/>
      <w:bCs/>
      <w:i/>
      <w:iCs/>
      <w:color w:val="4472C4" w:themeColor="accent1"/>
    </w:rPr>
  </w:style>
  <w:style w:type="character" w:styleId="ab">
    <w:name w:val="Strong"/>
    <w:basedOn w:val="a0"/>
    <w:uiPriority w:val="22"/>
    <w:qFormat/>
    <w:rPr>
      <w:b/>
      <w:bCs/>
    </w:rPr>
  </w:style>
  <w:style w:type="paragraph" w:styleId="21">
    <w:name w:val="Quote"/>
    <w:basedOn w:val="a"/>
    <w:next w:val="a"/>
    <w:link w:val="22"/>
    <w:uiPriority w:val="29"/>
    <w:qFormat/>
    <w:rPr>
      <w:i/>
      <w:iCs/>
      <w:color w:val="000000" w:themeColor="text1"/>
    </w:rPr>
  </w:style>
  <w:style w:type="character" w:customStyle="1" w:styleId="22">
    <w:name w:val="Цитата 2 Знак"/>
    <w:basedOn w:val="a0"/>
    <w:link w:val="21"/>
    <w:uiPriority w:val="29"/>
    <w:rPr>
      <w:i/>
      <w:iCs/>
      <w:color w:val="000000" w:themeColor="text1"/>
    </w:rPr>
  </w:style>
  <w:style w:type="paragraph" w:styleId="ac">
    <w:name w:val="Intense Quote"/>
    <w:basedOn w:val="a"/>
    <w:next w:val="a"/>
    <w:link w:val="ad"/>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d">
    <w:name w:val="Выделенная цитата Знак"/>
    <w:basedOn w:val="a0"/>
    <w:link w:val="ac"/>
    <w:uiPriority w:val="30"/>
    <w:rPr>
      <w:b/>
      <w:bCs/>
      <w:i/>
      <w:iCs/>
      <w:color w:val="4472C4" w:themeColor="accent1"/>
    </w:rPr>
  </w:style>
  <w:style w:type="character" w:styleId="ae">
    <w:name w:val="Subtle Reference"/>
    <w:basedOn w:val="a0"/>
    <w:uiPriority w:val="31"/>
    <w:qFormat/>
    <w:rPr>
      <w:smallCaps/>
      <w:color w:val="ED7D31" w:themeColor="accent2"/>
      <w:u w:val="single"/>
    </w:rPr>
  </w:style>
  <w:style w:type="character" w:styleId="af">
    <w:name w:val="Intense Reference"/>
    <w:basedOn w:val="a0"/>
    <w:uiPriority w:val="32"/>
    <w:qFormat/>
    <w:rPr>
      <w:b/>
      <w:bCs/>
      <w:smallCaps/>
      <w:color w:val="ED7D31" w:themeColor="accent2"/>
      <w:spacing w:val="5"/>
      <w:u w:val="single"/>
    </w:rPr>
  </w:style>
  <w:style w:type="character" w:styleId="af0">
    <w:name w:val="Book Title"/>
    <w:basedOn w:val="a0"/>
    <w:uiPriority w:val="33"/>
    <w:qFormat/>
    <w:rPr>
      <w:b/>
      <w:bCs/>
      <w:smallCaps/>
      <w:spacing w:val="5"/>
    </w:rPr>
  </w:style>
  <w:style w:type="paragraph" w:styleId="af1">
    <w:name w:val="List Paragraph"/>
    <w:basedOn w:val="a"/>
    <w:uiPriority w:val="34"/>
    <w:qFormat/>
    <w:pPr>
      <w:ind w:left="720"/>
      <w:contextualSpacing/>
    </w:pPr>
  </w:style>
  <w:style w:type="paragraph" w:styleId="af2">
    <w:name w:val="footnote text"/>
    <w:basedOn w:val="a"/>
    <w:link w:val="af3"/>
    <w:uiPriority w:val="99"/>
    <w:semiHidden/>
    <w:unhideWhenUsed/>
    <w:pPr>
      <w:spacing w:after="0" w:line="240" w:lineRule="auto"/>
    </w:pPr>
    <w:rPr>
      <w:sz w:val="20"/>
      <w:szCs w:val="20"/>
    </w:rPr>
  </w:style>
  <w:style w:type="character" w:customStyle="1" w:styleId="af3">
    <w:name w:val="Текст сноски Знак"/>
    <w:basedOn w:val="a0"/>
    <w:link w:val="af2"/>
    <w:uiPriority w:val="99"/>
    <w:semiHidden/>
    <w:rPr>
      <w:sz w:val="20"/>
      <w:szCs w:val="20"/>
    </w:rPr>
  </w:style>
  <w:style w:type="character" w:styleId="af4">
    <w:name w:val="footnote reference"/>
    <w:basedOn w:val="a0"/>
    <w:uiPriority w:val="99"/>
    <w:semiHidden/>
    <w:unhideWhenUsed/>
    <w:rPr>
      <w:vertAlign w:val="superscript"/>
    </w:rPr>
  </w:style>
  <w:style w:type="paragraph" w:styleId="af5">
    <w:name w:val="endnote text"/>
    <w:basedOn w:val="a"/>
    <w:link w:val="af6"/>
    <w:uiPriority w:val="99"/>
    <w:semiHidden/>
    <w:unhideWhenUsed/>
    <w:pPr>
      <w:spacing w:after="0" w:line="240" w:lineRule="auto"/>
    </w:pPr>
    <w:rPr>
      <w:sz w:val="20"/>
      <w:szCs w:val="20"/>
    </w:rPr>
  </w:style>
  <w:style w:type="character" w:customStyle="1" w:styleId="af6">
    <w:name w:val="Текст концевой сноски Знак"/>
    <w:basedOn w:val="a0"/>
    <w:link w:val="af5"/>
    <w:uiPriority w:val="99"/>
    <w:semiHidden/>
    <w:rPr>
      <w:sz w:val="20"/>
      <w:szCs w:val="20"/>
    </w:rPr>
  </w:style>
  <w:style w:type="character" w:styleId="af7">
    <w:name w:val="endnote reference"/>
    <w:basedOn w:val="a0"/>
    <w:uiPriority w:val="99"/>
    <w:semiHidden/>
    <w:unhideWhenUsed/>
    <w:rPr>
      <w:vertAlign w:val="superscript"/>
    </w:rPr>
  </w:style>
  <w:style w:type="character" w:styleId="af8">
    <w:name w:val="Hyperlink"/>
    <w:basedOn w:val="a0"/>
    <w:uiPriority w:val="99"/>
    <w:unhideWhenUsed/>
    <w:rPr>
      <w:color w:val="0563C1" w:themeColor="hyperlink"/>
      <w:u w:val="single"/>
    </w:rPr>
  </w:style>
  <w:style w:type="paragraph" w:styleId="af9">
    <w:name w:val="Plain Text"/>
    <w:basedOn w:val="a"/>
    <w:link w:val="afa"/>
    <w:uiPriority w:val="99"/>
    <w:semiHidden/>
    <w:unhideWhenUsed/>
    <w:pPr>
      <w:spacing w:after="0" w:line="240" w:lineRule="auto"/>
    </w:pPr>
    <w:rPr>
      <w:rFonts w:ascii="Courier New" w:hAnsi="Courier New" w:cs="Courier New"/>
      <w:sz w:val="21"/>
      <w:szCs w:val="21"/>
    </w:rPr>
  </w:style>
  <w:style w:type="character" w:customStyle="1" w:styleId="afa">
    <w:name w:val="Текст Знак"/>
    <w:basedOn w:val="a0"/>
    <w:link w:val="af9"/>
    <w:uiPriority w:val="99"/>
    <w:rPr>
      <w:rFonts w:ascii="Courier New" w:hAnsi="Courier New" w:cs="Courier New"/>
      <w:sz w:val="21"/>
      <w:szCs w:val="21"/>
    </w:rPr>
  </w:style>
  <w:style w:type="paragraph" w:styleId="afb">
    <w:name w:val="header"/>
    <w:basedOn w:val="a"/>
    <w:link w:val="afc"/>
    <w:uiPriority w:val="99"/>
    <w:unhideWhenUsed/>
    <w:pPr>
      <w:spacing w:after="0" w:line="240" w:lineRule="auto"/>
    </w:pPr>
  </w:style>
  <w:style w:type="character" w:customStyle="1" w:styleId="afc">
    <w:name w:val="Верхний колонтитул Знак"/>
    <w:basedOn w:val="a0"/>
    <w:link w:val="afb"/>
    <w:uiPriority w:val="99"/>
  </w:style>
  <w:style w:type="paragraph" w:styleId="afd">
    <w:name w:val="footer"/>
    <w:basedOn w:val="a"/>
    <w:link w:val="afe"/>
    <w:uiPriority w:val="99"/>
    <w:unhideWhenUsed/>
    <w:pPr>
      <w:spacing w:after="0" w:line="240" w:lineRule="auto"/>
    </w:pPr>
  </w:style>
  <w:style w:type="character" w:customStyle="1" w:styleId="afe">
    <w:name w:val="Нижний колонтитул Знак"/>
    <w:basedOn w:val="a0"/>
    <w:link w:val="afd"/>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1579</Words>
  <Characters>9002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Кабинет 113</dc:creator>
  <cp:lastModifiedBy>Кабинет 113</cp:lastModifiedBy>
  <cp:revision>3</cp:revision>
  <dcterms:created xsi:type="dcterms:W3CDTF">2026-01-21T10:03:00Z</dcterms:created>
  <dcterms:modified xsi:type="dcterms:W3CDTF">2026-01-21T10:44:00Z</dcterms:modified>
</cp:coreProperties>
</file>