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446" w:rsidRDefault="00137446" w:rsidP="00137446">
      <w:pPr>
        <w:jc w:val="right"/>
        <w:rPr>
          <w:b/>
          <w:bCs/>
          <w:lang w:eastAsia="ru-RU"/>
        </w:rPr>
      </w:pPr>
      <w:r>
        <w:rPr>
          <w:b/>
          <w:bCs/>
          <w:lang w:eastAsia="ru-RU"/>
        </w:rPr>
        <w:t>Викторова Кристина Дмитриевна</w:t>
      </w:r>
    </w:p>
    <w:p w:rsidR="00137446" w:rsidRPr="00071BA3" w:rsidRDefault="00137446" w:rsidP="00137446">
      <w:pPr>
        <w:jc w:val="right"/>
        <w:rPr>
          <w:b/>
          <w:bCs/>
          <w:lang w:val="en-US" w:eastAsia="ru-RU"/>
        </w:rPr>
      </w:pPr>
      <w:proofErr w:type="spellStart"/>
      <w:r w:rsidRPr="00071BA3">
        <w:rPr>
          <w:b/>
          <w:bCs/>
          <w:lang w:val="en-US" w:eastAsia="ru-RU"/>
        </w:rPr>
        <w:t>Viktorova</w:t>
      </w:r>
      <w:proofErr w:type="spellEnd"/>
      <w:r w:rsidRPr="00071BA3">
        <w:rPr>
          <w:b/>
          <w:bCs/>
          <w:lang w:val="en-US" w:eastAsia="ru-RU"/>
        </w:rPr>
        <w:t xml:space="preserve"> Kristina </w:t>
      </w:r>
      <w:proofErr w:type="spellStart"/>
      <w:r w:rsidRPr="00071BA3">
        <w:rPr>
          <w:b/>
          <w:bCs/>
          <w:lang w:val="en-US" w:eastAsia="ru-RU"/>
        </w:rPr>
        <w:t>Dmitrievna</w:t>
      </w:r>
      <w:proofErr w:type="spellEnd"/>
    </w:p>
    <w:p w:rsidR="00137446" w:rsidRPr="00137446" w:rsidRDefault="00137446" w:rsidP="00137446">
      <w:pPr>
        <w:jc w:val="right"/>
        <w:rPr>
          <w:lang w:eastAsia="ru-RU"/>
        </w:rPr>
      </w:pPr>
      <w:r>
        <w:rPr>
          <w:lang w:eastAsia="ru-RU"/>
        </w:rPr>
        <w:t>Магистрант</w:t>
      </w:r>
    </w:p>
    <w:p w:rsidR="00137446" w:rsidRPr="00137446" w:rsidRDefault="00137446" w:rsidP="00137446">
      <w:pPr>
        <w:jc w:val="right"/>
        <w:rPr>
          <w:lang w:eastAsia="ru-RU"/>
        </w:rPr>
      </w:pPr>
      <w:r>
        <w:rPr>
          <w:lang w:val="en-US" w:eastAsia="ru-RU"/>
        </w:rPr>
        <w:t>Master</w:t>
      </w:r>
      <w:r w:rsidRPr="00137446">
        <w:rPr>
          <w:lang w:eastAsia="ru-RU"/>
        </w:rPr>
        <w:t>’</w:t>
      </w:r>
      <w:r>
        <w:rPr>
          <w:lang w:val="en-US" w:eastAsia="ru-RU"/>
        </w:rPr>
        <w:t>s</w:t>
      </w:r>
      <w:r w:rsidRPr="00137446">
        <w:rPr>
          <w:lang w:eastAsia="ru-RU"/>
        </w:rPr>
        <w:t xml:space="preserve"> </w:t>
      </w:r>
      <w:r>
        <w:rPr>
          <w:lang w:val="en-US" w:eastAsia="ru-RU"/>
        </w:rPr>
        <w:t>Degree</w:t>
      </w:r>
      <w:r w:rsidRPr="00137446">
        <w:rPr>
          <w:lang w:eastAsia="ru-RU"/>
        </w:rPr>
        <w:t xml:space="preserve"> </w:t>
      </w:r>
      <w:r>
        <w:rPr>
          <w:lang w:val="en-US" w:eastAsia="ru-RU"/>
        </w:rPr>
        <w:t>student</w:t>
      </w:r>
    </w:p>
    <w:p w:rsidR="00137446" w:rsidRDefault="00137446" w:rsidP="00137446">
      <w:pPr>
        <w:pStyle w:val="a3"/>
        <w:jc w:val="right"/>
        <w:rPr>
          <w:rFonts w:ascii="Times New Roman" w:hAnsi="Times New Roman"/>
        </w:rPr>
      </w:pPr>
      <w:r>
        <w:rPr>
          <w:rFonts w:ascii="Times New Roman" w:hAnsi="Times New Roman"/>
        </w:rPr>
        <w:t>Московский Университет имени С.Ю. Витте</w:t>
      </w:r>
    </w:p>
    <w:p w:rsidR="00137446" w:rsidRDefault="00137446" w:rsidP="00137446">
      <w:pPr>
        <w:pStyle w:val="a3"/>
        <w:jc w:val="right"/>
        <w:rPr>
          <w:rFonts w:ascii="Times New Roman" w:hAnsi="Times New Roman"/>
        </w:rPr>
      </w:pPr>
      <w:proofErr w:type="spellStart"/>
      <w:r w:rsidRPr="00071BA3">
        <w:rPr>
          <w:rFonts w:ascii="Times New Roman" w:hAnsi="Times New Roman"/>
        </w:rPr>
        <w:t>Witte</w:t>
      </w:r>
      <w:proofErr w:type="spellEnd"/>
      <w:r w:rsidRPr="00071BA3">
        <w:rPr>
          <w:rFonts w:ascii="Times New Roman" w:hAnsi="Times New Roman"/>
        </w:rPr>
        <w:t xml:space="preserve"> </w:t>
      </w:r>
      <w:proofErr w:type="spellStart"/>
      <w:r w:rsidRPr="00071BA3">
        <w:rPr>
          <w:rFonts w:ascii="Times New Roman" w:hAnsi="Times New Roman"/>
        </w:rPr>
        <w:t>Moscow</w:t>
      </w:r>
      <w:proofErr w:type="spellEnd"/>
      <w:r w:rsidRPr="00071BA3">
        <w:rPr>
          <w:rFonts w:ascii="Times New Roman" w:hAnsi="Times New Roman"/>
        </w:rPr>
        <w:t xml:space="preserve"> </w:t>
      </w:r>
      <w:proofErr w:type="spellStart"/>
      <w:r w:rsidRPr="00071BA3">
        <w:rPr>
          <w:rFonts w:ascii="Times New Roman" w:hAnsi="Times New Roman"/>
        </w:rPr>
        <w:t>University</w:t>
      </w:r>
      <w:proofErr w:type="spellEnd"/>
    </w:p>
    <w:p w:rsidR="00137446" w:rsidRPr="00FA7B9C" w:rsidRDefault="00137446" w:rsidP="00137446">
      <w:pPr>
        <w:pStyle w:val="a3"/>
        <w:jc w:val="right"/>
        <w:rPr>
          <w:rFonts w:ascii="Times New Roman" w:hAnsi="Times New Roman"/>
          <w:b/>
          <w:bCs/>
          <w:sz w:val="30"/>
          <w:szCs w:val="30"/>
        </w:rPr>
      </w:pPr>
    </w:p>
    <w:p w:rsidR="00137446" w:rsidRPr="00137446" w:rsidRDefault="00137446" w:rsidP="00137446">
      <w:pPr>
        <w:jc w:val="center"/>
        <w:rPr>
          <w:b/>
          <w:bCs/>
          <w:sz w:val="28"/>
          <w:szCs w:val="28"/>
          <w:lang w:eastAsia="ru-RU"/>
        </w:rPr>
      </w:pPr>
      <w:r w:rsidRPr="00071BA3">
        <w:rPr>
          <w:b/>
          <w:bCs/>
          <w:sz w:val="28"/>
          <w:szCs w:val="28"/>
          <w:lang w:eastAsia="ru-RU"/>
        </w:rPr>
        <w:t>РАЗВИТИЕ</w:t>
      </w:r>
      <w:r w:rsidRPr="00137446">
        <w:rPr>
          <w:b/>
          <w:bCs/>
          <w:sz w:val="28"/>
          <w:szCs w:val="28"/>
          <w:lang w:eastAsia="ru-RU"/>
        </w:rPr>
        <w:t xml:space="preserve"> </w:t>
      </w:r>
      <w:r w:rsidRPr="00071BA3">
        <w:rPr>
          <w:b/>
          <w:bCs/>
          <w:sz w:val="28"/>
          <w:szCs w:val="28"/>
          <w:lang w:eastAsia="ru-RU"/>
        </w:rPr>
        <w:t>ИНСТИТУТА</w:t>
      </w:r>
      <w:r w:rsidRPr="00137446">
        <w:rPr>
          <w:b/>
          <w:bCs/>
          <w:sz w:val="28"/>
          <w:szCs w:val="28"/>
          <w:lang w:eastAsia="ru-RU"/>
        </w:rPr>
        <w:t xml:space="preserve"> </w:t>
      </w:r>
      <w:r w:rsidRPr="00071BA3">
        <w:rPr>
          <w:b/>
          <w:bCs/>
          <w:sz w:val="28"/>
          <w:szCs w:val="28"/>
          <w:lang w:eastAsia="ru-RU"/>
        </w:rPr>
        <w:t>СТРАТЕГИЧЕСКОГО</w:t>
      </w:r>
      <w:r w:rsidRPr="00137446">
        <w:rPr>
          <w:b/>
          <w:bCs/>
          <w:sz w:val="28"/>
          <w:szCs w:val="28"/>
          <w:lang w:eastAsia="ru-RU"/>
        </w:rPr>
        <w:t xml:space="preserve"> </w:t>
      </w:r>
      <w:r w:rsidRPr="00071BA3">
        <w:rPr>
          <w:b/>
          <w:bCs/>
          <w:sz w:val="28"/>
          <w:szCs w:val="28"/>
          <w:lang w:eastAsia="ru-RU"/>
        </w:rPr>
        <w:t>ПЛАНИРОВАНИЯ</w:t>
      </w:r>
    </w:p>
    <w:p w:rsidR="00137446" w:rsidRPr="00956A1B" w:rsidRDefault="00137446" w:rsidP="00137446">
      <w:pPr>
        <w:jc w:val="center"/>
        <w:rPr>
          <w:sz w:val="24"/>
          <w:szCs w:val="24"/>
          <w:lang w:val="en-US" w:eastAsia="ru-RU"/>
        </w:rPr>
      </w:pPr>
      <w:r w:rsidRPr="00581AAA">
        <w:rPr>
          <w:b/>
          <w:bCs/>
          <w:sz w:val="28"/>
          <w:szCs w:val="28"/>
          <w:lang w:val="en-US" w:eastAsia="ru-RU"/>
        </w:rPr>
        <w:t>DEVELOPMENT OF THE INSTITUTE OF STRATEGIC PLANNING</w:t>
      </w:r>
    </w:p>
    <w:p w:rsidR="00137446" w:rsidRDefault="00137446" w:rsidP="00137446">
      <w:pPr>
        <w:ind w:firstLine="709"/>
        <w:jc w:val="both"/>
        <w:rPr>
          <w:sz w:val="24"/>
          <w:szCs w:val="24"/>
          <w:lang w:val="en-US" w:eastAsia="ru-RU"/>
        </w:rPr>
      </w:pPr>
      <w:bookmarkStart w:id="0" w:name="_Hlk445674380"/>
    </w:p>
    <w:p w:rsidR="00137446" w:rsidRDefault="00137446" w:rsidP="00137446">
      <w:pPr>
        <w:ind w:firstLine="709"/>
        <w:jc w:val="both"/>
        <w:rPr>
          <w:sz w:val="24"/>
          <w:szCs w:val="24"/>
          <w:lang w:eastAsia="ru-RU"/>
        </w:rPr>
      </w:pPr>
      <w:r>
        <w:rPr>
          <w:sz w:val="24"/>
          <w:szCs w:val="24"/>
          <w:lang w:eastAsia="ru-RU"/>
        </w:rPr>
        <w:t>Аннотация:</w:t>
      </w:r>
      <w:r w:rsidRPr="008D53C4">
        <w:rPr>
          <w:sz w:val="24"/>
          <w:szCs w:val="24"/>
          <w:lang w:eastAsia="ru-RU"/>
        </w:rPr>
        <w:t xml:space="preserve"> </w:t>
      </w:r>
      <w:proofErr w:type="gramStart"/>
      <w:r w:rsidRPr="00581AAA">
        <w:rPr>
          <w:sz w:val="24"/>
          <w:szCs w:val="24"/>
          <w:lang w:eastAsia="ru-RU"/>
        </w:rPr>
        <w:t>В</w:t>
      </w:r>
      <w:proofErr w:type="gramEnd"/>
      <w:r w:rsidRPr="00581AAA">
        <w:rPr>
          <w:sz w:val="24"/>
          <w:szCs w:val="24"/>
          <w:lang w:eastAsia="ru-RU"/>
        </w:rPr>
        <w:t xml:space="preserve"> статье рассматриваются теоретические аспекты развития института стратегического планирования в контексте современной системы государственного управления.</w:t>
      </w:r>
      <w:r w:rsidRPr="00581AAA">
        <w:t xml:space="preserve"> </w:t>
      </w:r>
      <w:r w:rsidRPr="00581AAA">
        <w:rPr>
          <w:sz w:val="24"/>
          <w:szCs w:val="24"/>
          <w:lang w:eastAsia="ru-RU"/>
        </w:rPr>
        <w:t xml:space="preserve">Становление и развитие современного государства </w:t>
      </w:r>
      <w:r>
        <w:rPr>
          <w:sz w:val="24"/>
          <w:szCs w:val="24"/>
          <w:lang w:eastAsia="ru-RU"/>
        </w:rPr>
        <w:t xml:space="preserve">необходимо </w:t>
      </w:r>
      <w:r w:rsidRPr="00581AAA">
        <w:rPr>
          <w:sz w:val="24"/>
          <w:szCs w:val="24"/>
          <w:lang w:eastAsia="ru-RU"/>
        </w:rPr>
        <w:t xml:space="preserve">рассматривать </w:t>
      </w:r>
      <w:r>
        <w:rPr>
          <w:sz w:val="24"/>
          <w:szCs w:val="24"/>
          <w:lang w:eastAsia="ru-RU"/>
        </w:rPr>
        <w:t>с помощью</w:t>
      </w:r>
      <w:r w:rsidRPr="00581AAA">
        <w:rPr>
          <w:sz w:val="24"/>
          <w:szCs w:val="24"/>
          <w:lang w:eastAsia="ru-RU"/>
        </w:rPr>
        <w:t xml:space="preserve"> института стратегического планирования, являющегося </w:t>
      </w:r>
      <w:r>
        <w:rPr>
          <w:sz w:val="24"/>
          <w:szCs w:val="24"/>
          <w:lang w:eastAsia="ru-RU"/>
        </w:rPr>
        <w:t xml:space="preserve">главным </w:t>
      </w:r>
      <w:r w:rsidRPr="00581AAA">
        <w:rPr>
          <w:sz w:val="24"/>
          <w:szCs w:val="24"/>
          <w:lang w:eastAsia="ru-RU"/>
        </w:rPr>
        <w:t xml:space="preserve">элементом системы государственного управления.  Стратегическое планирование, </w:t>
      </w:r>
      <w:r>
        <w:rPr>
          <w:sz w:val="24"/>
          <w:szCs w:val="24"/>
          <w:lang w:eastAsia="ru-RU"/>
        </w:rPr>
        <w:t>это процесс</w:t>
      </w:r>
      <w:r w:rsidRPr="00581AAA">
        <w:rPr>
          <w:sz w:val="24"/>
          <w:szCs w:val="24"/>
          <w:lang w:eastAsia="ru-RU"/>
        </w:rPr>
        <w:t xml:space="preserve"> определения долгосрочных целей и путей их достижения,</w:t>
      </w:r>
      <w:r>
        <w:rPr>
          <w:sz w:val="24"/>
          <w:szCs w:val="24"/>
          <w:lang w:eastAsia="ru-RU"/>
        </w:rPr>
        <w:t xml:space="preserve"> который</w:t>
      </w:r>
      <w:r w:rsidRPr="00581AAA">
        <w:rPr>
          <w:sz w:val="24"/>
          <w:szCs w:val="24"/>
          <w:lang w:eastAsia="ru-RU"/>
        </w:rPr>
        <w:t xml:space="preserve"> приобретает значимость в условиях конкуренции, технологических изменений и растущей сложности социально-экономических систем</w:t>
      </w:r>
      <w:r>
        <w:rPr>
          <w:sz w:val="24"/>
          <w:szCs w:val="24"/>
          <w:lang w:eastAsia="ru-RU"/>
        </w:rPr>
        <w:t xml:space="preserve"> в регионах Российской Федерации</w:t>
      </w:r>
      <w:r w:rsidRPr="00581AAA">
        <w:rPr>
          <w:sz w:val="24"/>
          <w:szCs w:val="24"/>
          <w:lang w:eastAsia="ru-RU"/>
        </w:rPr>
        <w:t xml:space="preserve">.  Развитие института стратегического планирования представляет собой сложную задачу, </w:t>
      </w:r>
      <w:r>
        <w:rPr>
          <w:sz w:val="24"/>
          <w:szCs w:val="24"/>
          <w:lang w:eastAsia="ru-RU"/>
        </w:rPr>
        <w:t>которая требует</w:t>
      </w:r>
      <w:r w:rsidRPr="00581AAA">
        <w:rPr>
          <w:sz w:val="24"/>
          <w:szCs w:val="24"/>
          <w:lang w:eastAsia="ru-RU"/>
        </w:rPr>
        <w:t xml:space="preserve"> понимания теоретических основ </w:t>
      </w:r>
      <w:r>
        <w:rPr>
          <w:sz w:val="24"/>
          <w:szCs w:val="24"/>
          <w:lang w:eastAsia="ru-RU"/>
        </w:rPr>
        <w:t xml:space="preserve">данного института </w:t>
      </w:r>
      <w:r w:rsidRPr="00581AAA">
        <w:rPr>
          <w:sz w:val="24"/>
          <w:szCs w:val="24"/>
          <w:lang w:eastAsia="ru-RU"/>
        </w:rPr>
        <w:t xml:space="preserve">и практического опыта, а также учета специфических особенностей </w:t>
      </w:r>
      <w:r>
        <w:rPr>
          <w:sz w:val="24"/>
          <w:szCs w:val="24"/>
          <w:lang w:eastAsia="ru-RU"/>
        </w:rPr>
        <w:t>региона</w:t>
      </w:r>
      <w:r w:rsidRPr="00581AAA">
        <w:rPr>
          <w:sz w:val="24"/>
          <w:szCs w:val="24"/>
          <w:lang w:eastAsia="ru-RU"/>
        </w:rPr>
        <w:t>, в котором реализуется процесс</w:t>
      </w:r>
      <w:r>
        <w:rPr>
          <w:sz w:val="24"/>
          <w:szCs w:val="24"/>
          <w:lang w:eastAsia="ru-RU"/>
        </w:rPr>
        <w:t xml:space="preserve"> стратегического</w:t>
      </w:r>
      <w:r w:rsidRPr="00581AAA">
        <w:rPr>
          <w:sz w:val="24"/>
          <w:szCs w:val="24"/>
          <w:lang w:eastAsia="ru-RU"/>
        </w:rPr>
        <w:t xml:space="preserve"> планирования.</w:t>
      </w:r>
    </w:p>
    <w:p w:rsidR="00137446" w:rsidRDefault="00137446" w:rsidP="00137446">
      <w:pPr>
        <w:ind w:firstLine="709"/>
        <w:jc w:val="both"/>
        <w:rPr>
          <w:sz w:val="24"/>
          <w:szCs w:val="24"/>
          <w:lang w:eastAsia="ru-RU"/>
        </w:rPr>
      </w:pPr>
    </w:p>
    <w:p w:rsidR="00137446" w:rsidRPr="009F5594" w:rsidRDefault="00137446" w:rsidP="00137446">
      <w:pPr>
        <w:ind w:firstLine="709"/>
        <w:jc w:val="both"/>
        <w:rPr>
          <w:sz w:val="24"/>
          <w:szCs w:val="24"/>
          <w:lang w:eastAsia="ru-RU"/>
        </w:rPr>
      </w:pPr>
    </w:p>
    <w:bookmarkEnd w:id="0"/>
    <w:p w:rsidR="00137446" w:rsidRDefault="00137446" w:rsidP="00137446">
      <w:pPr>
        <w:ind w:firstLine="709"/>
        <w:jc w:val="both"/>
        <w:rPr>
          <w:sz w:val="24"/>
          <w:szCs w:val="24"/>
          <w:lang w:val="en-US" w:eastAsia="ru-RU"/>
        </w:rPr>
      </w:pPr>
      <w:r w:rsidRPr="008D53C4">
        <w:rPr>
          <w:sz w:val="24"/>
          <w:szCs w:val="24"/>
          <w:lang w:val="en-US" w:eastAsia="ru-RU"/>
        </w:rPr>
        <w:t xml:space="preserve">The summary: </w:t>
      </w:r>
      <w:r w:rsidRPr="00581AAA">
        <w:rPr>
          <w:sz w:val="24"/>
          <w:szCs w:val="24"/>
          <w:lang w:val="en-US" w:eastAsia="ru-RU"/>
        </w:rPr>
        <w:t xml:space="preserve">The article examines the theoretical aspects of the development of the Institute of strategic planning in the context of the modern system of public administration. The formation and development of a modern state </w:t>
      </w:r>
      <w:proofErr w:type="gramStart"/>
      <w:r w:rsidRPr="00581AAA">
        <w:rPr>
          <w:sz w:val="24"/>
          <w:szCs w:val="24"/>
          <w:lang w:val="en-US" w:eastAsia="ru-RU"/>
        </w:rPr>
        <w:t>should be considered</w:t>
      </w:r>
      <w:proofErr w:type="gramEnd"/>
      <w:r w:rsidRPr="00581AAA">
        <w:rPr>
          <w:sz w:val="24"/>
          <w:szCs w:val="24"/>
          <w:lang w:val="en-US" w:eastAsia="ru-RU"/>
        </w:rPr>
        <w:t xml:space="preserve"> with the help of the institute of strategic planning, which is the main element of the public administration system.  Strategic planning is the process of defining long-term goals and ways to achieve them, which becomes important in the context of competition, technological change and the growing complexity of socio-economic systems in the regions of the Russian Federation.  The development of the Institute of strategic planning is a complex task that requires understanding the theoretical foundations of this institute and practical experience, as well as taking into account the specific features of the region in which the strategic planning process </w:t>
      </w:r>
      <w:proofErr w:type="gramStart"/>
      <w:r w:rsidRPr="00581AAA">
        <w:rPr>
          <w:sz w:val="24"/>
          <w:szCs w:val="24"/>
          <w:lang w:val="en-US" w:eastAsia="ru-RU"/>
        </w:rPr>
        <w:t>is implemented</w:t>
      </w:r>
      <w:proofErr w:type="gramEnd"/>
      <w:r w:rsidRPr="00581AAA">
        <w:rPr>
          <w:sz w:val="24"/>
          <w:szCs w:val="24"/>
          <w:lang w:val="en-US" w:eastAsia="ru-RU"/>
        </w:rPr>
        <w:t>.</w:t>
      </w:r>
    </w:p>
    <w:p w:rsidR="00137446" w:rsidRPr="00E46246" w:rsidRDefault="00137446" w:rsidP="00137446">
      <w:pPr>
        <w:ind w:firstLine="709"/>
        <w:jc w:val="both"/>
        <w:rPr>
          <w:sz w:val="16"/>
          <w:szCs w:val="16"/>
          <w:lang w:val="en-US" w:eastAsia="ru-RU"/>
        </w:rPr>
      </w:pPr>
    </w:p>
    <w:p w:rsidR="00137446" w:rsidRPr="00915051" w:rsidRDefault="00137446" w:rsidP="00137446">
      <w:pPr>
        <w:ind w:firstLine="709"/>
        <w:jc w:val="both"/>
        <w:rPr>
          <w:i/>
          <w:sz w:val="24"/>
          <w:szCs w:val="24"/>
          <w:lang w:eastAsia="ru-RU"/>
        </w:rPr>
      </w:pPr>
      <w:r w:rsidRPr="00AE50D1">
        <w:rPr>
          <w:i/>
          <w:iCs/>
          <w:sz w:val="24"/>
          <w:szCs w:val="24"/>
          <w:lang w:eastAsia="ru-RU"/>
        </w:rPr>
        <w:t>Ключевые слова</w:t>
      </w:r>
      <w:r w:rsidRPr="00A05F0A">
        <w:rPr>
          <w:iCs/>
          <w:sz w:val="24"/>
          <w:szCs w:val="24"/>
          <w:lang w:eastAsia="ru-RU"/>
        </w:rPr>
        <w:t>:</w:t>
      </w:r>
      <w:r w:rsidRPr="00A05F0A">
        <w:rPr>
          <w:sz w:val="24"/>
          <w:szCs w:val="24"/>
          <w:lang w:eastAsia="ru-RU"/>
        </w:rPr>
        <w:t xml:space="preserve"> </w:t>
      </w:r>
      <w:r w:rsidRPr="00581AAA">
        <w:rPr>
          <w:i/>
          <w:sz w:val="24"/>
          <w:szCs w:val="24"/>
          <w:lang w:eastAsia="ru-RU"/>
        </w:rPr>
        <w:t>стратегическое планирование, государственное управление, нормативно-правовое регулирование, стратегические цели, социально-экономическое развитие, координация, эффективность, мониторинг.</w:t>
      </w:r>
    </w:p>
    <w:p w:rsidR="00137446" w:rsidRDefault="00137446" w:rsidP="00137446">
      <w:pPr>
        <w:ind w:firstLine="709"/>
        <w:jc w:val="both"/>
        <w:rPr>
          <w:i/>
          <w:sz w:val="24"/>
          <w:szCs w:val="24"/>
          <w:lang w:val="en-US" w:eastAsia="ru-RU"/>
        </w:rPr>
      </w:pPr>
      <w:r w:rsidRPr="00AE50D1">
        <w:rPr>
          <w:i/>
          <w:iCs/>
          <w:sz w:val="24"/>
          <w:szCs w:val="24"/>
          <w:lang w:val="en-US" w:eastAsia="ru-RU"/>
        </w:rPr>
        <w:t>Key</w:t>
      </w:r>
      <w:r w:rsidRPr="008D53C4">
        <w:rPr>
          <w:i/>
          <w:iCs/>
          <w:sz w:val="24"/>
          <w:szCs w:val="24"/>
          <w:lang w:val="en-US" w:eastAsia="ru-RU"/>
        </w:rPr>
        <w:t xml:space="preserve"> </w:t>
      </w:r>
      <w:r w:rsidRPr="00AE50D1">
        <w:rPr>
          <w:i/>
          <w:iCs/>
          <w:sz w:val="24"/>
          <w:szCs w:val="24"/>
          <w:lang w:val="en-US" w:eastAsia="ru-RU"/>
        </w:rPr>
        <w:t>words</w:t>
      </w:r>
      <w:r w:rsidRPr="008D53C4">
        <w:rPr>
          <w:i/>
          <w:iCs/>
          <w:sz w:val="24"/>
          <w:szCs w:val="24"/>
          <w:lang w:val="en-US" w:eastAsia="ru-RU"/>
        </w:rPr>
        <w:t>:</w:t>
      </w:r>
      <w:r w:rsidRPr="008D53C4">
        <w:rPr>
          <w:sz w:val="24"/>
          <w:szCs w:val="24"/>
          <w:lang w:val="en-US" w:eastAsia="ru-RU"/>
        </w:rPr>
        <w:t xml:space="preserve"> </w:t>
      </w:r>
      <w:r w:rsidRPr="00581AAA">
        <w:rPr>
          <w:i/>
          <w:sz w:val="24"/>
          <w:szCs w:val="24"/>
          <w:lang w:val="en-US" w:eastAsia="ru-RU"/>
        </w:rPr>
        <w:t>strategic planning, public administration, regulatory framework, strategic objectives, socio-economic development, coordination, efficiency, monitoring.</w:t>
      </w:r>
    </w:p>
    <w:p w:rsidR="00137446" w:rsidRDefault="00137446" w:rsidP="00137446">
      <w:pPr>
        <w:ind w:firstLine="709"/>
        <w:jc w:val="both"/>
        <w:rPr>
          <w:i/>
          <w:sz w:val="24"/>
          <w:szCs w:val="24"/>
          <w:lang w:val="en-US" w:eastAsia="ru-RU"/>
        </w:rPr>
      </w:pPr>
    </w:p>
    <w:p w:rsidR="00137446" w:rsidRPr="00E46246" w:rsidRDefault="00137446" w:rsidP="00137446">
      <w:pPr>
        <w:ind w:firstLine="709"/>
        <w:jc w:val="both"/>
        <w:rPr>
          <w:i/>
          <w:sz w:val="16"/>
          <w:szCs w:val="16"/>
          <w:lang w:val="en-US" w:eastAsia="ru-RU"/>
        </w:rPr>
      </w:pPr>
    </w:p>
    <w:p w:rsidR="00137446" w:rsidRDefault="00137446" w:rsidP="00137446">
      <w:pPr>
        <w:pStyle w:val="a3"/>
        <w:spacing w:line="360" w:lineRule="auto"/>
        <w:ind w:firstLine="709"/>
        <w:jc w:val="both"/>
        <w:rPr>
          <w:rFonts w:ascii="Times New Roman" w:hAnsi="Times New Roman"/>
          <w:sz w:val="28"/>
          <w:szCs w:val="28"/>
        </w:rPr>
      </w:pPr>
      <w:r w:rsidRPr="00581AAA">
        <w:rPr>
          <w:rFonts w:ascii="Times New Roman" w:hAnsi="Times New Roman"/>
          <w:sz w:val="28"/>
          <w:szCs w:val="28"/>
        </w:rPr>
        <w:t xml:space="preserve">Теоретические основы стратегического планирования базируются на концепциях общей теории систем, теории организации, теории управления и экономической теории. </w:t>
      </w:r>
      <w:r>
        <w:rPr>
          <w:rFonts w:ascii="Times New Roman" w:hAnsi="Times New Roman"/>
          <w:sz w:val="28"/>
          <w:szCs w:val="28"/>
        </w:rPr>
        <w:t xml:space="preserve">Чаще всего </w:t>
      </w:r>
      <w:r w:rsidRPr="00581AAA">
        <w:rPr>
          <w:rFonts w:ascii="Times New Roman" w:hAnsi="Times New Roman"/>
          <w:sz w:val="28"/>
          <w:szCs w:val="28"/>
        </w:rPr>
        <w:t xml:space="preserve">стратегическое планирование рассматривается как процесс адаптации организации к изменяющейся внешней среде, а также как инструмент формирования будущего. Отправной </w:t>
      </w:r>
      <w:r w:rsidRPr="00581AAA">
        <w:rPr>
          <w:rFonts w:ascii="Times New Roman" w:hAnsi="Times New Roman"/>
          <w:sz w:val="28"/>
          <w:szCs w:val="28"/>
        </w:rPr>
        <w:lastRenderedPageBreak/>
        <w:t xml:space="preserve">точкой для понимания развития института стратегического планирования является эволюция самой концепции стратегического планирования. </w:t>
      </w:r>
    </w:p>
    <w:p w:rsidR="00137446" w:rsidRPr="00581AAA" w:rsidRDefault="00137446" w:rsidP="00137446">
      <w:pPr>
        <w:pStyle w:val="a3"/>
        <w:spacing w:line="360" w:lineRule="auto"/>
        <w:ind w:firstLine="709"/>
        <w:jc w:val="both"/>
        <w:rPr>
          <w:rFonts w:ascii="Times New Roman" w:hAnsi="Times New Roman"/>
          <w:sz w:val="28"/>
          <w:szCs w:val="28"/>
        </w:rPr>
      </w:pPr>
      <w:r w:rsidRPr="00581AAA">
        <w:rPr>
          <w:rFonts w:ascii="Times New Roman" w:hAnsi="Times New Roman"/>
          <w:sz w:val="28"/>
          <w:szCs w:val="28"/>
        </w:rPr>
        <w:t>Методологической основой стратегического планирования выступают различные методы прогнозирования, моделирования, анализа данных и экспертных оценок. Выбор конкретных методов определяется целями и задачами планирования, а также доступными ресурсами.</w:t>
      </w:r>
    </w:p>
    <w:p w:rsidR="00137446" w:rsidRPr="009463F8" w:rsidRDefault="00137446" w:rsidP="00137446">
      <w:pPr>
        <w:spacing w:line="360" w:lineRule="auto"/>
        <w:ind w:firstLine="709"/>
        <w:jc w:val="both"/>
        <w:rPr>
          <w:sz w:val="28"/>
          <w:szCs w:val="28"/>
        </w:rPr>
      </w:pPr>
      <w:r w:rsidRPr="009463F8">
        <w:rPr>
          <w:sz w:val="28"/>
          <w:szCs w:val="28"/>
        </w:rPr>
        <w:t xml:space="preserve">Стратегическое планирование представляет собой ключевой инструмент для обеспечения устойчивого развития регионов в условиях динамичного изменения экономической, социальной и экологической среды. </w:t>
      </w:r>
      <w:r w:rsidRPr="007372F6">
        <w:rPr>
          <w:sz w:val="28"/>
          <w:szCs w:val="28"/>
        </w:rPr>
        <w:t>Стратегическое управление страно</w:t>
      </w:r>
      <w:r>
        <w:rPr>
          <w:sz w:val="28"/>
          <w:szCs w:val="28"/>
        </w:rPr>
        <w:t xml:space="preserve">й и ее регионом по мнению профессора </w:t>
      </w:r>
      <w:r w:rsidRPr="009463F8">
        <w:rPr>
          <w:sz w:val="28"/>
          <w:szCs w:val="28"/>
        </w:rPr>
        <w:t xml:space="preserve">Ф.Г. </w:t>
      </w:r>
      <w:proofErr w:type="spellStart"/>
      <w:r>
        <w:rPr>
          <w:sz w:val="28"/>
          <w:szCs w:val="28"/>
        </w:rPr>
        <w:t>Войтоловского</w:t>
      </w:r>
      <w:proofErr w:type="spellEnd"/>
      <w:r w:rsidRPr="009463F8">
        <w:rPr>
          <w:sz w:val="28"/>
          <w:szCs w:val="28"/>
        </w:rPr>
        <w:t xml:space="preserve"> </w:t>
      </w:r>
      <w:r>
        <w:rPr>
          <w:sz w:val="28"/>
          <w:szCs w:val="28"/>
        </w:rPr>
        <w:t xml:space="preserve">− это «процесс, </w:t>
      </w:r>
      <w:r w:rsidRPr="007372F6">
        <w:rPr>
          <w:sz w:val="28"/>
          <w:szCs w:val="28"/>
        </w:rPr>
        <w:t>который включает определение долгосрочных целей социально-экономического развития, вопросов, связ</w:t>
      </w:r>
      <w:r>
        <w:rPr>
          <w:sz w:val="28"/>
          <w:szCs w:val="28"/>
        </w:rPr>
        <w:t xml:space="preserve">анных с достижением этих целей, </w:t>
      </w:r>
      <w:r w:rsidRPr="007372F6">
        <w:rPr>
          <w:sz w:val="28"/>
          <w:szCs w:val="28"/>
        </w:rPr>
        <w:t>выделение приоритетных направлений экономического р</w:t>
      </w:r>
      <w:r>
        <w:rPr>
          <w:sz w:val="28"/>
          <w:szCs w:val="28"/>
        </w:rPr>
        <w:t xml:space="preserve">азвития, </w:t>
      </w:r>
      <w:r w:rsidRPr="007372F6">
        <w:rPr>
          <w:sz w:val="28"/>
          <w:szCs w:val="28"/>
        </w:rPr>
        <w:t>основополагающих принципов</w:t>
      </w:r>
      <w:r>
        <w:rPr>
          <w:sz w:val="28"/>
          <w:szCs w:val="28"/>
        </w:rPr>
        <w:t xml:space="preserve"> механизмов управления, а также </w:t>
      </w:r>
      <w:r w:rsidRPr="007372F6">
        <w:rPr>
          <w:sz w:val="28"/>
          <w:szCs w:val="28"/>
        </w:rPr>
        <w:t xml:space="preserve">инструментов механизмов управления </w:t>
      </w:r>
      <w:r>
        <w:rPr>
          <w:sz w:val="28"/>
          <w:szCs w:val="28"/>
        </w:rPr>
        <w:t xml:space="preserve">и институциональной системы для </w:t>
      </w:r>
      <w:r w:rsidRPr="007372F6">
        <w:rPr>
          <w:sz w:val="28"/>
          <w:szCs w:val="28"/>
        </w:rPr>
        <w:t>обеспечения реализации управленческих решений»</w:t>
      </w:r>
      <w:r>
        <w:rPr>
          <w:rStyle w:val="a7"/>
          <w:sz w:val="28"/>
          <w:szCs w:val="28"/>
        </w:rPr>
        <w:footnoteReference w:id="1"/>
      </w:r>
      <w:r>
        <w:rPr>
          <w:sz w:val="28"/>
          <w:szCs w:val="28"/>
        </w:rPr>
        <w:t>.</w:t>
      </w:r>
      <w:r w:rsidRPr="009463F8">
        <w:t xml:space="preserve"> </w:t>
      </w:r>
    </w:p>
    <w:p w:rsidR="00137446" w:rsidRDefault="00137446" w:rsidP="00137446">
      <w:pPr>
        <w:spacing w:line="360" w:lineRule="auto"/>
        <w:ind w:firstLine="709"/>
        <w:jc w:val="both"/>
        <w:rPr>
          <w:sz w:val="28"/>
          <w:szCs w:val="28"/>
        </w:rPr>
      </w:pPr>
      <w:r w:rsidRPr="009463F8">
        <w:rPr>
          <w:sz w:val="28"/>
          <w:szCs w:val="28"/>
        </w:rPr>
        <w:t>В современной практике управления региональным развитием важность данного процесса трудно переоценить, поскольку он позволяет выявить долгосрочные цели, определить приоритетные направления и мобилизовать ресурсы для их достижения. Эффективное стратегическое планирование основывается на глубоком анализе текущей ситуации, прогнозировании будущих тенденций и вовлечении всех заинтересованных сторон, что в конечном итоге ведет к улучшению качества жизни населения и повышению конкурентоспособности региона.</w:t>
      </w:r>
    </w:p>
    <w:p w:rsidR="00137446" w:rsidRDefault="00137446" w:rsidP="00137446">
      <w:pPr>
        <w:spacing w:line="360" w:lineRule="auto"/>
        <w:ind w:firstLine="709"/>
        <w:jc w:val="both"/>
        <w:rPr>
          <w:sz w:val="28"/>
          <w:szCs w:val="28"/>
        </w:rPr>
      </w:pPr>
      <w:r w:rsidRPr="009463F8">
        <w:rPr>
          <w:sz w:val="28"/>
          <w:szCs w:val="28"/>
        </w:rPr>
        <w:t>Основная цель социально-экономиче</w:t>
      </w:r>
      <w:r>
        <w:rPr>
          <w:sz w:val="28"/>
          <w:szCs w:val="28"/>
        </w:rPr>
        <w:t xml:space="preserve">ского развития региона является </w:t>
      </w:r>
      <w:r w:rsidRPr="009463F8">
        <w:rPr>
          <w:sz w:val="28"/>
          <w:szCs w:val="28"/>
        </w:rPr>
        <w:t>повышение качества и уровня жизни населения, проживающего на данной</w:t>
      </w:r>
      <w:r>
        <w:rPr>
          <w:sz w:val="28"/>
          <w:szCs w:val="28"/>
        </w:rPr>
        <w:t xml:space="preserve"> </w:t>
      </w:r>
      <w:r w:rsidRPr="009463F8">
        <w:rPr>
          <w:sz w:val="28"/>
          <w:szCs w:val="28"/>
        </w:rPr>
        <w:t>территории, а уже задачи, вытекающие из основной цели, отражаются в</w:t>
      </w:r>
      <w:r>
        <w:rPr>
          <w:sz w:val="28"/>
          <w:szCs w:val="28"/>
        </w:rPr>
        <w:t xml:space="preserve"> </w:t>
      </w:r>
      <w:r w:rsidRPr="009463F8">
        <w:rPr>
          <w:sz w:val="28"/>
          <w:szCs w:val="28"/>
        </w:rPr>
        <w:lastRenderedPageBreak/>
        <w:t>особенностях плана стратегического развития и могут</w:t>
      </w:r>
      <w:r>
        <w:rPr>
          <w:sz w:val="28"/>
          <w:szCs w:val="28"/>
        </w:rPr>
        <w:t xml:space="preserve"> быть самыми </w:t>
      </w:r>
      <w:r w:rsidRPr="009463F8">
        <w:rPr>
          <w:sz w:val="28"/>
          <w:szCs w:val="28"/>
        </w:rPr>
        <w:t xml:space="preserve">разнообразными. </w:t>
      </w:r>
    </w:p>
    <w:p w:rsidR="00137446" w:rsidRDefault="00137446" w:rsidP="00137446">
      <w:pPr>
        <w:spacing w:line="360" w:lineRule="auto"/>
        <w:ind w:firstLine="709"/>
        <w:jc w:val="both"/>
        <w:rPr>
          <w:sz w:val="28"/>
          <w:szCs w:val="28"/>
        </w:rPr>
      </w:pPr>
      <w:r w:rsidRPr="009463F8">
        <w:rPr>
          <w:sz w:val="28"/>
          <w:szCs w:val="28"/>
        </w:rPr>
        <w:t>На рис</w:t>
      </w:r>
      <w:r>
        <w:rPr>
          <w:sz w:val="28"/>
          <w:szCs w:val="28"/>
        </w:rPr>
        <w:t>унке</w:t>
      </w:r>
      <w:r w:rsidRPr="009463F8">
        <w:rPr>
          <w:sz w:val="28"/>
          <w:szCs w:val="28"/>
        </w:rPr>
        <w:t xml:space="preserve"> 1.1 представлен механизм управления социально-экономическим развитием региона</w:t>
      </w:r>
      <w:r>
        <w:rPr>
          <w:sz w:val="28"/>
          <w:szCs w:val="28"/>
        </w:rPr>
        <w:t>.</w:t>
      </w:r>
    </w:p>
    <w:p w:rsidR="00137446" w:rsidRDefault="00137446" w:rsidP="00137446">
      <w:pPr>
        <w:spacing w:line="360" w:lineRule="auto"/>
        <w:ind w:firstLine="709"/>
        <w:jc w:val="both"/>
        <w:rPr>
          <w:sz w:val="28"/>
          <w:szCs w:val="28"/>
        </w:rPr>
      </w:pPr>
    </w:p>
    <w:p w:rsidR="00137446" w:rsidRDefault="00137446" w:rsidP="00137446">
      <w:pPr>
        <w:spacing w:line="360" w:lineRule="auto"/>
        <w:jc w:val="center"/>
        <w:rPr>
          <w:sz w:val="28"/>
          <w:szCs w:val="28"/>
        </w:rPr>
      </w:pPr>
      <w:bookmarkStart w:id="1" w:name="_GoBack"/>
      <w:r>
        <w:rPr>
          <w:noProof/>
          <w:sz w:val="28"/>
          <w:szCs w:val="28"/>
          <w:lang w:eastAsia="ru-RU"/>
        </w:rPr>
        <w:drawing>
          <wp:inline distT="0" distB="0" distL="0" distR="0" wp14:anchorId="05C2A327" wp14:editId="16F9D2E8">
            <wp:extent cx="5875020" cy="2948940"/>
            <wp:effectExtent l="0" t="0" r="0" b="22860"/>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bookmarkEnd w:id="1"/>
    </w:p>
    <w:p w:rsidR="00137446" w:rsidRDefault="00137446" w:rsidP="00137446">
      <w:pPr>
        <w:spacing w:line="360" w:lineRule="auto"/>
        <w:jc w:val="center"/>
        <w:rPr>
          <w:sz w:val="28"/>
          <w:szCs w:val="28"/>
        </w:rPr>
      </w:pPr>
      <w:r>
        <w:rPr>
          <w:sz w:val="28"/>
          <w:szCs w:val="28"/>
        </w:rPr>
        <w:t xml:space="preserve">Рис. 1.1. </w:t>
      </w:r>
      <w:r w:rsidRPr="009463F8">
        <w:rPr>
          <w:sz w:val="28"/>
          <w:szCs w:val="28"/>
        </w:rPr>
        <w:t>Механизм управления со</w:t>
      </w:r>
      <w:r>
        <w:rPr>
          <w:sz w:val="28"/>
          <w:szCs w:val="28"/>
        </w:rPr>
        <w:t xml:space="preserve">циально-экономическим развитием </w:t>
      </w:r>
      <w:r w:rsidRPr="009463F8">
        <w:rPr>
          <w:sz w:val="28"/>
          <w:szCs w:val="28"/>
        </w:rPr>
        <w:t>региона</w:t>
      </w:r>
      <w:r>
        <w:rPr>
          <w:rStyle w:val="a7"/>
          <w:sz w:val="28"/>
          <w:szCs w:val="28"/>
        </w:rPr>
        <w:footnoteReference w:id="2"/>
      </w:r>
    </w:p>
    <w:p w:rsidR="00137446" w:rsidRDefault="00137446" w:rsidP="00137446">
      <w:pPr>
        <w:spacing w:line="360" w:lineRule="auto"/>
        <w:ind w:firstLine="709"/>
        <w:jc w:val="both"/>
        <w:rPr>
          <w:sz w:val="28"/>
          <w:szCs w:val="28"/>
        </w:rPr>
      </w:pPr>
    </w:p>
    <w:p w:rsidR="00137446" w:rsidRDefault="00137446" w:rsidP="00137446">
      <w:pPr>
        <w:spacing w:line="360" w:lineRule="auto"/>
        <w:ind w:firstLine="709"/>
        <w:jc w:val="both"/>
        <w:rPr>
          <w:sz w:val="28"/>
          <w:szCs w:val="28"/>
        </w:rPr>
      </w:pPr>
      <w:r>
        <w:rPr>
          <w:sz w:val="28"/>
          <w:szCs w:val="28"/>
        </w:rPr>
        <w:t>Из рис. 1.1. следует, что с</w:t>
      </w:r>
      <w:r w:rsidRPr="00CF3DBA">
        <w:rPr>
          <w:sz w:val="28"/>
          <w:szCs w:val="28"/>
        </w:rPr>
        <w:t xml:space="preserve">тратегическое планирование является необходимым инструментом в современном государственном управлении, играя ключевую роль в правовых и экономических процессах. Оно обеспечивает системный подход к разработке региональных стратегий и программ, позволяя определять приоритетные направления и модели управления, что в свою очередь повышает эффективность реализации управленческих решений. </w:t>
      </w:r>
    </w:p>
    <w:p w:rsidR="00137446" w:rsidRDefault="00137446" w:rsidP="00137446">
      <w:pPr>
        <w:spacing w:line="360" w:lineRule="auto"/>
        <w:ind w:firstLine="709"/>
        <w:jc w:val="both"/>
        <w:rPr>
          <w:sz w:val="28"/>
          <w:szCs w:val="28"/>
        </w:rPr>
      </w:pPr>
      <w:r w:rsidRPr="00CF3DBA">
        <w:rPr>
          <w:sz w:val="28"/>
          <w:szCs w:val="28"/>
        </w:rPr>
        <w:t xml:space="preserve">Определение стратегического планирования как процесса разработки плана развития региона подразумевает не только формулирование целей и </w:t>
      </w:r>
      <w:r w:rsidRPr="00CF3DBA">
        <w:rPr>
          <w:sz w:val="28"/>
          <w:szCs w:val="28"/>
        </w:rPr>
        <w:lastRenderedPageBreak/>
        <w:t xml:space="preserve">задач, но и внедрение механизмов, способствующих достижению намеченных результатов. </w:t>
      </w:r>
    </w:p>
    <w:p w:rsidR="00137446" w:rsidRDefault="00137446" w:rsidP="00137446">
      <w:pPr>
        <w:spacing w:line="360" w:lineRule="auto"/>
        <w:ind w:firstLine="709"/>
        <w:jc w:val="both"/>
        <w:rPr>
          <w:sz w:val="28"/>
          <w:szCs w:val="28"/>
        </w:rPr>
      </w:pPr>
      <w:r>
        <w:rPr>
          <w:sz w:val="28"/>
          <w:szCs w:val="28"/>
        </w:rPr>
        <w:t>У</w:t>
      </w:r>
      <w:r w:rsidRPr="00CF3DBA">
        <w:rPr>
          <w:sz w:val="28"/>
          <w:szCs w:val="28"/>
        </w:rPr>
        <w:t>спешное управление социально-экономическим развитием региона требует строгого соблюдения принципов стратегического планирования и адаптации к специфическим условиям каждого региона.</w:t>
      </w:r>
      <w:r w:rsidRPr="00CF3DBA">
        <w:t xml:space="preserve"> </w:t>
      </w:r>
      <w:r w:rsidRPr="00CF3DBA">
        <w:rPr>
          <w:sz w:val="28"/>
          <w:szCs w:val="28"/>
        </w:rPr>
        <w:t>Элементы стратегического планирования региона</w:t>
      </w:r>
      <w:r>
        <w:rPr>
          <w:sz w:val="28"/>
          <w:szCs w:val="28"/>
        </w:rPr>
        <w:t xml:space="preserve"> (См. рисунок 1.2). </w:t>
      </w:r>
    </w:p>
    <w:p w:rsidR="00137446" w:rsidRDefault="00137446" w:rsidP="00137446">
      <w:pPr>
        <w:spacing w:line="360" w:lineRule="auto"/>
        <w:ind w:firstLine="709"/>
        <w:jc w:val="both"/>
        <w:rPr>
          <w:sz w:val="28"/>
          <w:szCs w:val="28"/>
        </w:rPr>
      </w:pPr>
    </w:p>
    <w:p w:rsidR="00137446" w:rsidRDefault="00137446" w:rsidP="00137446">
      <w:pPr>
        <w:spacing w:line="360" w:lineRule="auto"/>
        <w:jc w:val="both"/>
        <w:rPr>
          <w:sz w:val="28"/>
          <w:szCs w:val="28"/>
        </w:rPr>
      </w:pPr>
      <w:r>
        <w:rPr>
          <w:noProof/>
          <w:sz w:val="28"/>
          <w:szCs w:val="28"/>
          <w:lang w:eastAsia="ru-RU"/>
        </w:rPr>
        <w:drawing>
          <wp:inline distT="0" distB="0" distL="0" distR="0" wp14:anchorId="091CC98E" wp14:editId="306CF3B3">
            <wp:extent cx="6057900" cy="3215640"/>
            <wp:effectExtent l="0" t="19050" r="38100" b="4191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137446" w:rsidRPr="00CF3DBA" w:rsidRDefault="00137446" w:rsidP="00137446">
      <w:pPr>
        <w:spacing w:line="360" w:lineRule="auto"/>
        <w:jc w:val="center"/>
        <w:rPr>
          <w:sz w:val="28"/>
          <w:szCs w:val="28"/>
        </w:rPr>
      </w:pPr>
      <w:r>
        <w:rPr>
          <w:sz w:val="28"/>
          <w:szCs w:val="28"/>
        </w:rPr>
        <w:t xml:space="preserve">Рис. 1.2. </w:t>
      </w:r>
      <w:r w:rsidRPr="00CF3DBA">
        <w:rPr>
          <w:sz w:val="28"/>
          <w:szCs w:val="28"/>
        </w:rPr>
        <w:t>Элементы стратегического планирования региона</w:t>
      </w:r>
      <w:r>
        <w:rPr>
          <w:rStyle w:val="a7"/>
          <w:sz w:val="28"/>
          <w:szCs w:val="28"/>
        </w:rPr>
        <w:footnoteReference w:id="3"/>
      </w:r>
    </w:p>
    <w:p w:rsidR="00137446" w:rsidRDefault="00137446" w:rsidP="00137446">
      <w:pPr>
        <w:spacing w:line="360" w:lineRule="auto"/>
        <w:ind w:firstLine="709"/>
        <w:jc w:val="both"/>
        <w:rPr>
          <w:sz w:val="28"/>
          <w:szCs w:val="28"/>
        </w:rPr>
      </w:pPr>
    </w:p>
    <w:p w:rsidR="00137446" w:rsidRDefault="00137446" w:rsidP="00137446">
      <w:pPr>
        <w:spacing w:line="360" w:lineRule="auto"/>
        <w:ind w:firstLine="709"/>
        <w:jc w:val="both"/>
        <w:rPr>
          <w:sz w:val="28"/>
          <w:szCs w:val="28"/>
        </w:rPr>
      </w:pPr>
      <w:r>
        <w:rPr>
          <w:sz w:val="28"/>
          <w:szCs w:val="28"/>
        </w:rPr>
        <w:t>Из рис. 1.2., следует, что э</w:t>
      </w:r>
      <w:r w:rsidRPr="00385157">
        <w:rPr>
          <w:sz w:val="28"/>
          <w:szCs w:val="28"/>
        </w:rPr>
        <w:t>лементы стратегического планирования образуют связное целое, что является ключом к успешному развитию региона в условиях динамичной повседневной реальности.</w:t>
      </w:r>
      <w:r>
        <w:rPr>
          <w:sz w:val="28"/>
          <w:szCs w:val="28"/>
        </w:rPr>
        <w:t xml:space="preserve"> </w:t>
      </w:r>
      <w:r w:rsidRPr="00385157">
        <w:rPr>
          <w:sz w:val="28"/>
          <w:szCs w:val="28"/>
        </w:rPr>
        <w:t xml:space="preserve">Формирование четких целей и критериев позволяет определить приоритеты и направления работы, а классификация проблем региона служит основой для их эффективного решения. </w:t>
      </w:r>
    </w:p>
    <w:p w:rsidR="00137446" w:rsidRPr="00581AAA" w:rsidRDefault="00137446" w:rsidP="00137446">
      <w:pPr>
        <w:spacing w:line="360" w:lineRule="auto"/>
        <w:ind w:firstLine="709"/>
        <w:jc w:val="both"/>
        <w:rPr>
          <w:sz w:val="28"/>
          <w:szCs w:val="28"/>
        </w:rPr>
      </w:pPr>
      <w:r w:rsidRPr="00385157">
        <w:rPr>
          <w:sz w:val="28"/>
          <w:szCs w:val="28"/>
        </w:rPr>
        <w:t xml:space="preserve">Изучение внешней и внутренней среды способствует пониманию факторов, влияющих на развитие, в то время как анализ конкурентных </w:t>
      </w:r>
      <w:r w:rsidRPr="00385157">
        <w:rPr>
          <w:sz w:val="28"/>
          <w:szCs w:val="28"/>
        </w:rPr>
        <w:lastRenderedPageBreak/>
        <w:t xml:space="preserve">преимуществ помогает выявить уникальные сроки, которые могут быть использованы для повышения экономической устойчивости </w:t>
      </w:r>
      <w:r>
        <w:rPr>
          <w:sz w:val="28"/>
          <w:szCs w:val="28"/>
        </w:rPr>
        <w:t>региона.</w:t>
      </w:r>
    </w:p>
    <w:p w:rsidR="00137446" w:rsidRPr="00581AAA" w:rsidRDefault="00137446" w:rsidP="00137446">
      <w:pPr>
        <w:pStyle w:val="a3"/>
        <w:spacing w:line="360" w:lineRule="auto"/>
        <w:ind w:firstLine="709"/>
        <w:jc w:val="both"/>
        <w:rPr>
          <w:rFonts w:ascii="Times New Roman" w:hAnsi="Times New Roman"/>
          <w:sz w:val="28"/>
          <w:szCs w:val="28"/>
        </w:rPr>
      </w:pPr>
      <w:r w:rsidRPr="00581AAA">
        <w:rPr>
          <w:rFonts w:ascii="Times New Roman" w:hAnsi="Times New Roman"/>
          <w:sz w:val="28"/>
          <w:szCs w:val="28"/>
        </w:rPr>
        <w:t>Организационно-правовые рамки стратегического планирования определяют структуру и порядок взаимодействия органов власти, обязанности и ответственность участников процесса планирования, а также механизмы контроля и мониторинга реализации стратегических планов. Эффективная система стратегического планирования предполагает четкое распределение полномочий и ответственности между органами власти на различных уровнях управления. Важным аспектом развития института стратегического планирования является обеспечение соответствия стратегических планов ресурсным возможностям. Недостаточная проработка финансовых аспектов может привести к невыполнению стратегических целей и дискредитации самого процесса планирования.</w:t>
      </w:r>
    </w:p>
    <w:p w:rsidR="00137446" w:rsidRPr="00581AAA" w:rsidRDefault="00137446" w:rsidP="00137446">
      <w:pPr>
        <w:pStyle w:val="a3"/>
        <w:spacing w:line="360" w:lineRule="auto"/>
        <w:ind w:firstLine="709"/>
        <w:jc w:val="both"/>
        <w:rPr>
          <w:rFonts w:ascii="Times New Roman" w:hAnsi="Times New Roman"/>
          <w:sz w:val="28"/>
          <w:szCs w:val="28"/>
        </w:rPr>
      </w:pPr>
      <w:r w:rsidRPr="00581AAA">
        <w:rPr>
          <w:rFonts w:ascii="Times New Roman" w:hAnsi="Times New Roman"/>
          <w:sz w:val="28"/>
          <w:szCs w:val="28"/>
        </w:rPr>
        <w:t>Проблемы координации стратегических целей и задач на различных уровнях управления представляют собой серьезный вызов для института стратегического планирования. Необходимо обеспечивать согласованность стратегических планов федерального, регионального и муниципального уровней, а также отраслевых стратегий. Важную роль в решении проблем координации играет внедрение современных информационных технологий и создание единого информационного пространства стратегического планирования.  Наличие единой информационной платформы позволит обеспечить прозрачность и доступность информации для всех участников процесса планирования, а также облегчит обме</w:t>
      </w:r>
      <w:r>
        <w:rPr>
          <w:rFonts w:ascii="Times New Roman" w:hAnsi="Times New Roman"/>
          <w:sz w:val="28"/>
          <w:szCs w:val="28"/>
        </w:rPr>
        <w:t>н данными и координацию усилий.</w:t>
      </w:r>
    </w:p>
    <w:p w:rsidR="00137446" w:rsidRDefault="00137446" w:rsidP="00137446">
      <w:pPr>
        <w:pStyle w:val="a3"/>
        <w:spacing w:line="360" w:lineRule="auto"/>
        <w:ind w:firstLine="709"/>
        <w:jc w:val="both"/>
        <w:rPr>
          <w:rFonts w:ascii="Times New Roman" w:hAnsi="Times New Roman"/>
          <w:sz w:val="28"/>
          <w:szCs w:val="28"/>
        </w:rPr>
      </w:pPr>
      <w:r w:rsidRPr="00581AAA">
        <w:rPr>
          <w:rFonts w:ascii="Times New Roman" w:hAnsi="Times New Roman"/>
          <w:sz w:val="28"/>
          <w:szCs w:val="28"/>
        </w:rPr>
        <w:t>Развитие института стратегического планирования неразрывно связано с совершенствованием системы государственного управления.  Эффективная система стратегического планирования является необходимым условием для обеспечения устойчивого социально-экономического развития, повышения качества жизни населения и укреплени</w:t>
      </w:r>
      <w:r>
        <w:rPr>
          <w:rFonts w:ascii="Times New Roman" w:hAnsi="Times New Roman"/>
          <w:sz w:val="28"/>
          <w:szCs w:val="28"/>
        </w:rPr>
        <w:t>я конкурентоспособности страны.</w:t>
      </w:r>
    </w:p>
    <w:p w:rsidR="00137446" w:rsidRDefault="00137446" w:rsidP="00137446">
      <w:pPr>
        <w:pStyle w:val="a3"/>
        <w:spacing w:line="360" w:lineRule="auto"/>
        <w:ind w:firstLine="709"/>
        <w:jc w:val="both"/>
        <w:rPr>
          <w:rFonts w:ascii="Times New Roman" w:hAnsi="Times New Roman"/>
          <w:sz w:val="28"/>
          <w:szCs w:val="28"/>
        </w:rPr>
      </w:pPr>
      <w:r w:rsidRPr="00581AAA">
        <w:rPr>
          <w:rFonts w:ascii="Times New Roman" w:hAnsi="Times New Roman"/>
          <w:sz w:val="28"/>
          <w:szCs w:val="28"/>
        </w:rPr>
        <w:lastRenderedPageBreak/>
        <w:t>Использование современных технологий и привлечение квалифицированных специалистов позволит не только оптимизировать процесс стратегического планирования, но и вывести его на качественно новый уровень.</w:t>
      </w:r>
    </w:p>
    <w:p w:rsidR="00137446" w:rsidRDefault="00137446" w:rsidP="00137446">
      <w:pPr>
        <w:pStyle w:val="a3"/>
        <w:spacing w:line="360" w:lineRule="auto"/>
        <w:ind w:firstLine="709"/>
        <w:jc w:val="both"/>
        <w:rPr>
          <w:rFonts w:ascii="Times New Roman" w:hAnsi="Times New Roman"/>
          <w:sz w:val="28"/>
          <w:szCs w:val="28"/>
        </w:rPr>
      </w:pPr>
      <w:r w:rsidRPr="00E60C31">
        <w:rPr>
          <w:rFonts w:ascii="Times New Roman" w:hAnsi="Times New Roman"/>
          <w:sz w:val="28"/>
          <w:szCs w:val="28"/>
        </w:rPr>
        <w:t xml:space="preserve">Таким образом, </w:t>
      </w:r>
      <w:r>
        <w:rPr>
          <w:rFonts w:ascii="Times New Roman" w:hAnsi="Times New Roman"/>
          <w:sz w:val="28"/>
          <w:szCs w:val="28"/>
        </w:rPr>
        <w:t>проведенное и</w:t>
      </w:r>
      <w:r w:rsidRPr="00240B47">
        <w:rPr>
          <w:rFonts w:ascii="Times New Roman" w:hAnsi="Times New Roman"/>
          <w:sz w:val="28"/>
          <w:szCs w:val="28"/>
        </w:rPr>
        <w:t>сследование показало, что</w:t>
      </w:r>
      <w:r>
        <w:rPr>
          <w:rFonts w:ascii="Times New Roman" w:hAnsi="Times New Roman"/>
          <w:sz w:val="28"/>
          <w:szCs w:val="28"/>
        </w:rPr>
        <w:t xml:space="preserve"> </w:t>
      </w:r>
      <w:r w:rsidRPr="00581AAA">
        <w:rPr>
          <w:rFonts w:ascii="Times New Roman" w:hAnsi="Times New Roman"/>
          <w:sz w:val="28"/>
          <w:szCs w:val="28"/>
        </w:rPr>
        <w:t xml:space="preserve">развитие института стратегического планирования является ключевым фактором для обеспечения устойчивого социально-экономического развития. Эффективность стратегического планирования определяется нормативно-правовым обеспечением, организационной структурой, методами анализа, а также уровнем вовлеченности заинтересованных сторон. </w:t>
      </w:r>
    </w:p>
    <w:p w:rsidR="00137446" w:rsidRPr="00E60C31" w:rsidRDefault="00137446" w:rsidP="00137446">
      <w:pPr>
        <w:pStyle w:val="a3"/>
        <w:spacing w:line="360" w:lineRule="auto"/>
        <w:ind w:firstLine="709"/>
        <w:jc w:val="both"/>
        <w:rPr>
          <w:rFonts w:ascii="Times New Roman" w:hAnsi="Times New Roman"/>
          <w:sz w:val="28"/>
          <w:szCs w:val="28"/>
        </w:rPr>
      </w:pPr>
    </w:p>
    <w:p w:rsidR="00137446" w:rsidRPr="004F5AFE" w:rsidRDefault="00137446" w:rsidP="00137446">
      <w:pPr>
        <w:adjustRightInd w:val="0"/>
        <w:spacing w:before="60" w:after="60" w:line="360" w:lineRule="auto"/>
        <w:ind w:firstLine="709"/>
        <w:jc w:val="both"/>
        <w:rPr>
          <w:b/>
          <w:color w:val="000000"/>
          <w:sz w:val="28"/>
          <w:szCs w:val="28"/>
          <w:lang w:eastAsia="ru-RU"/>
        </w:rPr>
      </w:pPr>
      <w:r w:rsidRPr="004F5AFE">
        <w:rPr>
          <w:b/>
          <w:color w:val="000000"/>
          <w:sz w:val="28"/>
          <w:szCs w:val="28"/>
          <w:lang w:eastAsia="ru-RU"/>
        </w:rPr>
        <w:t>Литература:</w:t>
      </w:r>
    </w:p>
    <w:p w:rsidR="00137446" w:rsidRDefault="00137446" w:rsidP="00137446">
      <w:pPr>
        <w:widowControl/>
        <w:numPr>
          <w:ilvl w:val="0"/>
          <w:numId w:val="1"/>
        </w:numPr>
        <w:adjustRightInd w:val="0"/>
        <w:spacing w:before="60" w:after="60" w:line="360" w:lineRule="auto"/>
        <w:ind w:left="0" w:firstLine="709"/>
        <w:jc w:val="both"/>
        <w:rPr>
          <w:color w:val="000000"/>
          <w:sz w:val="28"/>
          <w:szCs w:val="28"/>
          <w:lang w:eastAsia="ru-RU"/>
        </w:rPr>
      </w:pPr>
      <w:r w:rsidRPr="00581AAA">
        <w:rPr>
          <w:color w:val="000000"/>
          <w:sz w:val="28"/>
          <w:szCs w:val="28"/>
          <w:lang w:eastAsia="ru-RU"/>
        </w:rPr>
        <w:t xml:space="preserve">Войтоловский Ф.Г. Стратегическое планирование в государственном управлении: опыт, возможности и перспективы / Ф.Г. Войтоловский, Д.Б. </w:t>
      </w:r>
      <w:proofErr w:type="spellStart"/>
      <w:r w:rsidRPr="00581AAA">
        <w:rPr>
          <w:color w:val="000000"/>
          <w:sz w:val="28"/>
          <w:szCs w:val="28"/>
          <w:lang w:eastAsia="ru-RU"/>
        </w:rPr>
        <w:t>Кувалин</w:t>
      </w:r>
      <w:proofErr w:type="spellEnd"/>
      <w:r w:rsidRPr="00581AAA">
        <w:rPr>
          <w:color w:val="000000"/>
          <w:sz w:val="28"/>
          <w:szCs w:val="28"/>
          <w:lang w:eastAsia="ru-RU"/>
        </w:rPr>
        <w:t xml:space="preserve">, Е.Б. </w:t>
      </w:r>
      <w:proofErr w:type="spellStart"/>
      <w:r w:rsidRPr="00581AAA">
        <w:rPr>
          <w:color w:val="000000"/>
          <w:sz w:val="28"/>
          <w:szCs w:val="28"/>
          <w:lang w:eastAsia="ru-RU"/>
        </w:rPr>
        <w:t>Ленчук</w:t>
      </w:r>
      <w:proofErr w:type="spellEnd"/>
      <w:r w:rsidRPr="00581AAA">
        <w:rPr>
          <w:color w:val="000000"/>
          <w:sz w:val="28"/>
          <w:szCs w:val="28"/>
          <w:lang w:eastAsia="ru-RU"/>
        </w:rPr>
        <w:t xml:space="preserve"> // Проблемы прогнозирования. – 2025. – №6. – С.</w:t>
      </w:r>
      <w:r>
        <w:rPr>
          <w:color w:val="000000"/>
          <w:sz w:val="28"/>
          <w:szCs w:val="28"/>
          <w:lang w:eastAsia="ru-RU"/>
        </w:rPr>
        <w:t xml:space="preserve"> 46–55;</w:t>
      </w:r>
    </w:p>
    <w:p w:rsidR="00137446" w:rsidRDefault="00137446" w:rsidP="00137446">
      <w:pPr>
        <w:widowControl/>
        <w:numPr>
          <w:ilvl w:val="0"/>
          <w:numId w:val="1"/>
        </w:numPr>
        <w:adjustRightInd w:val="0"/>
        <w:spacing w:before="60" w:after="60" w:line="360" w:lineRule="auto"/>
        <w:ind w:left="0" w:firstLine="709"/>
        <w:jc w:val="both"/>
        <w:rPr>
          <w:color w:val="000000"/>
          <w:sz w:val="28"/>
          <w:szCs w:val="28"/>
          <w:lang w:eastAsia="ru-RU"/>
        </w:rPr>
      </w:pPr>
      <w:r w:rsidRPr="007B6455">
        <w:rPr>
          <w:color w:val="000000"/>
          <w:sz w:val="28"/>
          <w:szCs w:val="28"/>
          <w:lang w:eastAsia="ru-RU"/>
        </w:rPr>
        <w:t xml:space="preserve">Белкина Е.Н. Стратегическое планирование социально-экономического развития региона и его муниципалитетов / Е.Н. Белкина, В.С. </w:t>
      </w:r>
      <w:proofErr w:type="spellStart"/>
      <w:r w:rsidRPr="007B6455">
        <w:rPr>
          <w:color w:val="000000"/>
          <w:sz w:val="28"/>
          <w:szCs w:val="28"/>
          <w:lang w:eastAsia="ru-RU"/>
        </w:rPr>
        <w:t>Сибиркина</w:t>
      </w:r>
      <w:proofErr w:type="spellEnd"/>
      <w:r w:rsidRPr="007B6455">
        <w:rPr>
          <w:color w:val="000000"/>
          <w:sz w:val="28"/>
          <w:szCs w:val="28"/>
          <w:lang w:eastAsia="ru-RU"/>
        </w:rPr>
        <w:t>, Д.А. Гончарова, Д.Е. Саранцева, Г.А. Глазков // Экономика и предпринимательство. – 2025. – № 7 (132). – С. 456–4</w:t>
      </w:r>
      <w:r>
        <w:rPr>
          <w:color w:val="000000"/>
          <w:sz w:val="28"/>
          <w:szCs w:val="28"/>
          <w:lang w:eastAsia="ru-RU"/>
        </w:rPr>
        <w:t>60;</w:t>
      </w:r>
    </w:p>
    <w:p w:rsidR="00137446" w:rsidRPr="007B6455" w:rsidRDefault="00137446" w:rsidP="00137446">
      <w:pPr>
        <w:widowControl/>
        <w:numPr>
          <w:ilvl w:val="0"/>
          <w:numId w:val="1"/>
        </w:numPr>
        <w:adjustRightInd w:val="0"/>
        <w:spacing w:before="60" w:after="60" w:line="360" w:lineRule="auto"/>
        <w:ind w:left="0" w:firstLine="709"/>
        <w:jc w:val="both"/>
        <w:rPr>
          <w:color w:val="000000"/>
          <w:sz w:val="28"/>
          <w:szCs w:val="28"/>
          <w:lang w:eastAsia="ru-RU"/>
        </w:rPr>
      </w:pPr>
      <w:r w:rsidRPr="007B6455">
        <w:rPr>
          <w:color w:val="000000"/>
          <w:sz w:val="28"/>
          <w:szCs w:val="28"/>
          <w:lang w:eastAsia="ru-RU"/>
        </w:rPr>
        <w:t>Давыдов Д. А. Социально-экономическое развитие муниципальных образований в Российской Федерации / Д. А. Давыдов // Молодой ученый. – 2023. – № 2 (397). – С. 96–97.</w:t>
      </w:r>
    </w:p>
    <w:p w:rsidR="00E520C4" w:rsidRDefault="00E520C4"/>
    <w:sectPr w:rsidR="00E520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22C" w:rsidRDefault="00EE722C" w:rsidP="00137446">
      <w:r>
        <w:separator/>
      </w:r>
    </w:p>
  </w:endnote>
  <w:endnote w:type="continuationSeparator" w:id="0">
    <w:p w:rsidR="00EE722C" w:rsidRDefault="00EE722C" w:rsidP="0013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22C" w:rsidRDefault="00EE722C" w:rsidP="00137446">
      <w:r>
        <w:separator/>
      </w:r>
    </w:p>
  </w:footnote>
  <w:footnote w:type="continuationSeparator" w:id="0">
    <w:p w:rsidR="00EE722C" w:rsidRDefault="00EE722C" w:rsidP="00137446">
      <w:r>
        <w:continuationSeparator/>
      </w:r>
    </w:p>
  </w:footnote>
  <w:footnote w:id="1">
    <w:p w:rsidR="00137446" w:rsidRPr="00CF3DBA" w:rsidRDefault="00137446" w:rsidP="00137446">
      <w:pPr>
        <w:pStyle w:val="a5"/>
        <w:ind w:firstLine="709"/>
        <w:jc w:val="both"/>
        <w:rPr>
          <w:rFonts w:ascii="Times New Roman" w:hAnsi="Times New Roman" w:cs="Times New Roman"/>
        </w:rPr>
      </w:pPr>
      <w:r w:rsidRPr="00CF3DBA">
        <w:rPr>
          <w:rStyle w:val="a7"/>
          <w:rFonts w:ascii="Times New Roman" w:hAnsi="Times New Roman" w:cs="Times New Roman"/>
        </w:rPr>
        <w:footnoteRef/>
      </w:r>
      <w:r w:rsidRPr="00CF3DBA">
        <w:rPr>
          <w:rFonts w:ascii="Times New Roman" w:hAnsi="Times New Roman" w:cs="Times New Roman"/>
        </w:rPr>
        <w:t xml:space="preserve"> Войтоловский Ф.Г. Стратегическое планирование в государственном управлении: опыт, возможности и перспективы / Ф.Г. Войтоловский, Д.Б. </w:t>
      </w:r>
      <w:proofErr w:type="spellStart"/>
      <w:r w:rsidRPr="00CF3DBA">
        <w:rPr>
          <w:rFonts w:ascii="Times New Roman" w:hAnsi="Times New Roman" w:cs="Times New Roman"/>
        </w:rPr>
        <w:t>Кувалин</w:t>
      </w:r>
      <w:proofErr w:type="spellEnd"/>
      <w:r w:rsidRPr="00CF3DBA">
        <w:rPr>
          <w:rFonts w:ascii="Times New Roman" w:hAnsi="Times New Roman" w:cs="Times New Roman"/>
        </w:rPr>
        <w:t xml:space="preserve">, Е.Б. </w:t>
      </w:r>
      <w:proofErr w:type="spellStart"/>
      <w:r w:rsidRPr="00CF3DBA">
        <w:rPr>
          <w:rFonts w:ascii="Times New Roman" w:hAnsi="Times New Roman" w:cs="Times New Roman"/>
        </w:rPr>
        <w:t>Ленчук</w:t>
      </w:r>
      <w:proofErr w:type="spellEnd"/>
      <w:r w:rsidRPr="00CF3DBA">
        <w:rPr>
          <w:rFonts w:ascii="Times New Roman" w:hAnsi="Times New Roman" w:cs="Times New Roman"/>
        </w:rPr>
        <w:t xml:space="preserve"> // Проблемы прогнозирования. – 2025. – №6. – С. 46–55.</w:t>
      </w:r>
    </w:p>
  </w:footnote>
  <w:footnote w:id="2">
    <w:p w:rsidR="00137446" w:rsidRPr="00CF3DBA" w:rsidRDefault="00137446" w:rsidP="00137446">
      <w:pPr>
        <w:pStyle w:val="a5"/>
        <w:ind w:firstLine="709"/>
        <w:jc w:val="both"/>
        <w:rPr>
          <w:rFonts w:ascii="Times New Roman" w:hAnsi="Times New Roman" w:cs="Times New Roman"/>
        </w:rPr>
      </w:pPr>
      <w:r w:rsidRPr="00CF3DBA">
        <w:rPr>
          <w:rStyle w:val="a7"/>
          <w:rFonts w:ascii="Times New Roman" w:hAnsi="Times New Roman" w:cs="Times New Roman"/>
        </w:rPr>
        <w:footnoteRef/>
      </w:r>
      <w:r w:rsidRPr="00CF3DBA">
        <w:rPr>
          <w:rFonts w:ascii="Times New Roman" w:hAnsi="Times New Roman" w:cs="Times New Roman"/>
        </w:rPr>
        <w:t xml:space="preserve"> Составлено автором на основании источника Белкина Е.Н. Стратегическое планирование социально-экономического развития региона и его муниципалитетов / Е.Н. Белкина, В.С. </w:t>
      </w:r>
      <w:proofErr w:type="spellStart"/>
      <w:r w:rsidRPr="00CF3DBA">
        <w:rPr>
          <w:rFonts w:ascii="Times New Roman" w:hAnsi="Times New Roman" w:cs="Times New Roman"/>
        </w:rPr>
        <w:t>Сибиркина</w:t>
      </w:r>
      <w:proofErr w:type="spellEnd"/>
      <w:r w:rsidRPr="00CF3DBA">
        <w:rPr>
          <w:rFonts w:ascii="Times New Roman" w:hAnsi="Times New Roman" w:cs="Times New Roman"/>
        </w:rPr>
        <w:t>, Д.А. Гончарова, Д.Е. Саранцева, Г.А. Глазков // Экономика и предпринимательство. – 2025. – № 7 (132). – С. 456–460.</w:t>
      </w:r>
    </w:p>
  </w:footnote>
  <w:footnote w:id="3">
    <w:p w:rsidR="00137446" w:rsidRPr="00CF3DBA" w:rsidRDefault="00137446" w:rsidP="00137446">
      <w:pPr>
        <w:pStyle w:val="a5"/>
        <w:ind w:firstLine="709"/>
        <w:jc w:val="both"/>
        <w:rPr>
          <w:rFonts w:ascii="Times New Roman" w:hAnsi="Times New Roman" w:cs="Times New Roman"/>
        </w:rPr>
      </w:pPr>
      <w:r w:rsidRPr="00CF3DBA">
        <w:rPr>
          <w:rStyle w:val="a7"/>
          <w:rFonts w:ascii="Times New Roman" w:hAnsi="Times New Roman" w:cs="Times New Roman"/>
        </w:rPr>
        <w:footnoteRef/>
      </w:r>
      <w:r w:rsidRPr="00CF3DBA">
        <w:rPr>
          <w:rFonts w:ascii="Times New Roman" w:hAnsi="Times New Roman" w:cs="Times New Roman"/>
        </w:rPr>
        <w:t xml:space="preserve"> Составлено автором на основании источника Давыдов Д. А. Социально-экономическое развитие муниципальных образований в Российской Федерации / Д. А. Давыдов // Молодой ученый. – 2023. – № 2 (397). – С. 96–97.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470B6"/>
    <w:multiLevelType w:val="hybridMultilevel"/>
    <w:tmpl w:val="202A76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540"/>
    <w:rsid w:val="00137446"/>
    <w:rsid w:val="00DB3540"/>
    <w:rsid w:val="00E520C4"/>
    <w:rsid w:val="00EE7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A2702"/>
  <w15:chartTrackingRefBased/>
  <w15:docId w15:val="{9CF0C547-71D9-45C6-B25E-4D761622A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137446"/>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37446"/>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1"/>
    <w:rsid w:val="00137446"/>
    <w:rPr>
      <w:rFonts w:ascii="Calibri" w:eastAsia="Times New Roman" w:hAnsi="Calibri" w:cs="Times New Roman"/>
      <w:lang w:eastAsia="ru-RU"/>
    </w:rPr>
  </w:style>
  <w:style w:type="paragraph" w:styleId="a5">
    <w:name w:val="footnote text"/>
    <w:aliases w:val="Текст сноски Знак Знак,Текст сноски Знак Знак Знак Знак Знак,Текст сноски Знак Знак Знак Знак Знак Знак Знак Знак,Текст сноски-FN,Текст сноски Знак Знак Знак Знак,Текст сноски Знак1 Знак,Char Знак,Char Знак Char Char,Footnote Text1 Знак"/>
    <w:basedOn w:val="a"/>
    <w:link w:val="a6"/>
    <w:uiPriority w:val="99"/>
    <w:unhideWhenUsed/>
    <w:rsid w:val="00137446"/>
    <w:pPr>
      <w:widowControl/>
      <w:autoSpaceDE/>
      <w:autoSpaceDN/>
    </w:pPr>
    <w:rPr>
      <w:rFonts w:asciiTheme="minorHAnsi" w:eastAsiaTheme="minorHAnsi" w:hAnsiTheme="minorHAnsi" w:cstheme="minorBidi"/>
      <w:sz w:val="20"/>
      <w:szCs w:val="20"/>
    </w:rPr>
  </w:style>
  <w:style w:type="character" w:customStyle="1" w:styleId="a6">
    <w:name w:val="Текст сноски Знак"/>
    <w:aliases w:val="Текст сноски Знак Знак Знак,Текст сноски Знак Знак Знак Знак Знак Знак,Текст сноски Знак Знак Знак Знак Знак Знак Знак Знак Знак,Текст сноски-FN Знак,Текст сноски Знак Знак Знак Знак Знак1,Текст сноски Знак1 Знак Знак,Char Знак Знак"/>
    <w:basedOn w:val="a0"/>
    <w:link w:val="a5"/>
    <w:uiPriority w:val="99"/>
    <w:rsid w:val="00137446"/>
    <w:rPr>
      <w:sz w:val="20"/>
      <w:szCs w:val="20"/>
    </w:rPr>
  </w:style>
  <w:style w:type="character" w:styleId="a7">
    <w:name w:val="footnote reference"/>
    <w:aliases w:val="Знак сноски-FN,Ciae niinee-FN,Знак сноски Н"/>
    <w:basedOn w:val="a0"/>
    <w:uiPriority w:val="99"/>
    <w:unhideWhenUsed/>
    <w:rsid w:val="001374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fontTable" Target="fontTable.xml"/><Relationship Id="rId2" Type="http://schemas.openxmlformats.org/officeDocument/2006/relationships/styles" Target="styles.xml"/><Relationship Id="rId16"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Colors" Target="diagrams/colors2.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E0664AF-2BC1-4167-8DAF-7461A275998D}" type="doc">
      <dgm:prSet loTypeId="urn:microsoft.com/office/officeart/2005/8/layout/cycle3" loCatId="cycle" qsTypeId="urn:microsoft.com/office/officeart/2005/8/quickstyle/simple2" qsCatId="simple" csTypeId="urn:microsoft.com/office/officeart/2005/8/colors/accent0_1" csCatId="mainScheme" phldr="1"/>
      <dgm:spPr/>
      <dgm:t>
        <a:bodyPr/>
        <a:lstStyle/>
        <a:p>
          <a:endParaRPr lang="ru-RU"/>
        </a:p>
      </dgm:t>
    </dgm:pt>
    <dgm:pt modelId="{6CA5BB82-5EE9-415C-B0F5-32ED9E37F114}">
      <dgm:prSet phldrT="[Текст]" custT="1"/>
      <dgm:spPr/>
      <dgm:t>
        <a:bodyPr/>
        <a:lstStyle/>
        <a:p>
          <a:r>
            <a:rPr lang="ru-RU" sz="1100">
              <a:latin typeface="Times New Roman" panose="02020603050405020304" pitchFamily="18" charset="0"/>
              <a:cs typeface="Times New Roman" panose="02020603050405020304" pitchFamily="18" charset="0"/>
            </a:rPr>
            <a:t>Субъект </a:t>
          </a:r>
        </a:p>
      </dgm:t>
    </dgm:pt>
    <dgm:pt modelId="{A97DAC54-7681-41C6-870C-E485E66BA278}" type="parTrans" cxnId="{E1BBCE47-3D20-451A-851A-2EBF25CA9C93}">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4964DECD-4B04-44BE-A8AB-F38247D5633B}" type="sibTrans" cxnId="{E1BBCE47-3D20-451A-851A-2EBF25CA9C93}">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C73B84B7-CDCB-42B3-84A1-0E907BF02BF8}">
      <dgm:prSet phldrT="[Текст]" custT="1"/>
      <dgm:spPr/>
      <dgm:t>
        <a:bodyPr/>
        <a:lstStyle/>
        <a:p>
          <a:r>
            <a:rPr lang="ru-RU" sz="1100">
              <a:latin typeface="Times New Roman" panose="02020603050405020304" pitchFamily="18" charset="0"/>
              <a:cs typeface="Times New Roman" panose="02020603050405020304" pitchFamily="18" charset="0"/>
            </a:rPr>
            <a:t>Ресурсное обеспечение </a:t>
          </a:r>
        </a:p>
      </dgm:t>
    </dgm:pt>
    <dgm:pt modelId="{E7FEF5BA-06F1-4B9F-927E-2F5A8CBFCA7B}" type="parTrans" cxnId="{998FAA9E-D9D0-4506-A665-173E1C73CB24}">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DB91CDA1-4A00-47B3-8E0D-D8E71100DBB0}" type="sibTrans" cxnId="{998FAA9E-D9D0-4506-A665-173E1C73CB24}">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974D8148-7CD6-4765-A271-661DB74BCB9F}">
      <dgm:prSet phldrT="[Текст]" custT="1"/>
      <dgm:spPr/>
      <dgm:t>
        <a:bodyPr/>
        <a:lstStyle/>
        <a:p>
          <a:r>
            <a:rPr lang="ru-RU" sz="1100">
              <a:latin typeface="Times New Roman" panose="02020603050405020304" pitchFamily="18" charset="0"/>
              <a:cs typeface="Times New Roman" panose="02020603050405020304" pitchFamily="18" charset="0"/>
            </a:rPr>
            <a:t>Объект </a:t>
          </a:r>
        </a:p>
      </dgm:t>
    </dgm:pt>
    <dgm:pt modelId="{EA22F676-22EB-4217-89C9-D3A1FD7CA4CA}" type="parTrans" cxnId="{446F5A30-2653-4E94-A58C-2E69C6C28E76}">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389A062A-562C-406B-9FEE-BB5C15183BCC}" type="sibTrans" cxnId="{446F5A30-2653-4E94-A58C-2E69C6C28E76}">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F5F97455-17F4-4EFD-A287-A77B74CFCED7}">
      <dgm:prSet phldrT="[Текст]" custT="1"/>
      <dgm:spPr/>
      <dgm:t>
        <a:bodyPr/>
        <a:lstStyle/>
        <a:p>
          <a:r>
            <a:rPr lang="ru-RU" sz="1100">
              <a:latin typeface="Times New Roman" panose="02020603050405020304" pitchFamily="18" charset="0"/>
              <a:cs typeface="Times New Roman" panose="02020603050405020304" pitchFamily="18" charset="0"/>
            </a:rPr>
            <a:t>Факторы влияния </a:t>
          </a:r>
        </a:p>
      </dgm:t>
    </dgm:pt>
    <dgm:pt modelId="{A704505F-07CE-4EF6-8E90-D2152A832704}" type="parTrans" cxnId="{2B95E04F-D10B-4699-ACCD-F3373898E812}">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831DC2E0-E3EB-41A0-A6F8-23F62B0563D0}" type="sibTrans" cxnId="{2B95E04F-D10B-4699-ACCD-F3373898E812}">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2A6B33BF-E9C9-408B-B377-F5A5D3DA2041}">
      <dgm:prSet phldrT="[Текст]" custT="1"/>
      <dgm:spPr/>
      <dgm:t>
        <a:bodyPr/>
        <a:lstStyle/>
        <a:p>
          <a:r>
            <a:rPr lang="ru-RU" sz="1100">
              <a:latin typeface="Times New Roman" panose="02020603050405020304" pitchFamily="18" charset="0"/>
              <a:cs typeface="Times New Roman" panose="02020603050405020304" pitchFamily="18" charset="0"/>
            </a:rPr>
            <a:t>Механизм взаимодействия и обратная связь </a:t>
          </a:r>
        </a:p>
      </dgm:t>
    </dgm:pt>
    <dgm:pt modelId="{6A0982D8-616D-4FD7-AE74-B6E6BE6084FC}" type="parTrans" cxnId="{BA2C2F72-6039-40EF-8161-A13DD05960A2}">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94FECACA-EE97-446A-9575-1D2B5B48D490}" type="sibTrans" cxnId="{BA2C2F72-6039-40EF-8161-A13DD05960A2}">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D5992FC1-D694-4056-A88D-A933131CA468}">
      <dgm:prSet phldrT="[Текст]" custT="1"/>
      <dgm:spPr/>
      <dgm:t>
        <a:bodyPr/>
        <a:lstStyle/>
        <a:p>
          <a:r>
            <a:rPr lang="ru-RU" sz="1100">
              <a:latin typeface="Times New Roman" panose="02020603050405020304" pitchFamily="18" charset="0"/>
              <a:cs typeface="Times New Roman" panose="02020603050405020304" pitchFamily="18" charset="0"/>
            </a:rPr>
            <a:t>Внутреняя среда </a:t>
          </a:r>
        </a:p>
      </dgm:t>
    </dgm:pt>
    <dgm:pt modelId="{CD49F109-6933-4AF7-AB59-AEA012704ABF}" type="parTrans" cxnId="{4E573BFF-4534-480D-88AF-7426756FE7A1}">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1E080BEC-FD5F-41CE-B75A-D7EA3651BA0A}" type="sibTrans" cxnId="{4E573BFF-4534-480D-88AF-7426756FE7A1}">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2C11523B-C4D6-4D15-B78E-F8E29DB4F135}">
      <dgm:prSet phldrT="[Текст]" custT="1"/>
      <dgm:spPr/>
      <dgm:t>
        <a:bodyPr/>
        <a:lstStyle/>
        <a:p>
          <a:r>
            <a:rPr lang="ru-RU" sz="1100">
              <a:latin typeface="Times New Roman" panose="02020603050405020304" pitchFamily="18" charset="0"/>
              <a:cs typeface="Times New Roman" panose="02020603050405020304" pitchFamily="18" charset="0"/>
            </a:rPr>
            <a:t>Показатели и индикаторы </a:t>
          </a:r>
        </a:p>
      </dgm:t>
    </dgm:pt>
    <dgm:pt modelId="{DD15CB95-B92D-470F-9C25-A38A59366DFE}" type="parTrans" cxnId="{9EB7F0CF-F2F1-49E7-BD27-7922AE9984CB}">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D28E8697-A469-413A-A3C3-DE0C05E61521}" type="sibTrans" cxnId="{9EB7F0CF-F2F1-49E7-BD27-7922AE9984CB}">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B5E6958B-E4A1-4112-9E3C-21504828EA53}">
      <dgm:prSet phldrT="[Текст]" custT="1"/>
      <dgm:spPr/>
      <dgm:t>
        <a:bodyPr/>
        <a:lstStyle/>
        <a:p>
          <a:r>
            <a:rPr lang="ru-RU" sz="1100">
              <a:latin typeface="Times New Roman" panose="02020603050405020304" pitchFamily="18" charset="0"/>
              <a:cs typeface="Times New Roman" panose="02020603050405020304" pitchFamily="18" charset="0"/>
            </a:rPr>
            <a:t>Внешняя среда </a:t>
          </a:r>
        </a:p>
      </dgm:t>
    </dgm:pt>
    <dgm:pt modelId="{86B896A5-6A94-4344-8906-1B4492675480}" type="parTrans" cxnId="{10B99D6B-6056-40F0-A4D5-35FA32AFD028}">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506C04A7-4075-4786-92A3-2AB058855644}" type="sibTrans" cxnId="{10B99D6B-6056-40F0-A4D5-35FA32AFD028}">
      <dgm:prSet/>
      <dgm:spPr/>
      <dgm:t>
        <a:bodyPr/>
        <a:lstStyle/>
        <a:p>
          <a:endParaRPr lang="ru-RU" sz="1100">
            <a:solidFill>
              <a:schemeClr val="tx1"/>
            </a:solidFill>
            <a:latin typeface="Times New Roman" panose="02020603050405020304" pitchFamily="18" charset="0"/>
            <a:cs typeface="Times New Roman" panose="02020603050405020304" pitchFamily="18" charset="0"/>
          </a:endParaRPr>
        </a:p>
      </dgm:t>
    </dgm:pt>
    <dgm:pt modelId="{DAB9E0E5-0DCC-4589-BD57-5A5771B73C2F}" type="pres">
      <dgm:prSet presAssocID="{1E0664AF-2BC1-4167-8DAF-7461A275998D}" presName="Name0" presStyleCnt="0">
        <dgm:presLayoutVars>
          <dgm:dir/>
          <dgm:resizeHandles val="exact"/>
        </dgm:presLayoutVars>
      </dgm:prSet>
      <dgm:spPr/>
      <dgm:t>
        <a:bodyPr/>
        <a:lstStyle/>
        <a:p>
          <a:endParaRPr lang="ru-RU"/>
        </a:p>
      </dgm:t>
    </dgm:pt>
    <dgm:pt modelId="{BB767787-D494-4F4D-952E-5B468B638483}" type="pres">
      <dgm:prSet presAssocID="{1E0664AF-2BC1-4167-8DAF-7461A275998D}" presName="cycle" presStyleCnt="0"/>
      <dgm:spPr/>
    </dgm:pt>
    <dgm:pt modelId="{B229C49E-452B-466D-AFD0-C0B08115F4D8}" type="pres">
      <dgm:prSet presAssocID="{6CA5BB82-5EE9-415C-B0F5-32ED9E37F114}" presName="nodeFirstNode" presStyleLbl="node1" presStyleIdx="0" presStyleCnt="4">
        <dgm:presLayoutVars>
          <dgm:bulletEnabled val="1"/>
        </dgm:presLayoutVars>
      </dgm:prSet>
      <dgm:spPr/>
      <dgm:t>
        <a:bodyPr/>
        <a:lstStyle/>
        <a:p>
          <a:endParaRPr lang="ru-RU"/>
        </a:p>
      </dgm:t>
    </dgm:pt>
    <dgm:pt modelId="{5D6F14E0-36B2-4EC0-89E7-565A7FAE527C}" type="pres">
      <dgm:prSet presAssocID="{4964DECD-4B04-44BE-A8AB-F38247D5633B}" presName="sibTransFirstNode" presStyleLbl="bgShp" presStyleIdx="0" presStyleCnt="1"/>
      <dgm:spPr/>
      <dgm:t>
        <a:bodyPr/>
        <a:lstStyle/>
        <a:p>
          <a:endParaRPr lang="ru-RU"/>
        </a:p>
      </dgm:t>
    </dgm:pt>
    <dgm:pt modelId="{3626AAE7-B9D9-49E7-AC62-C0C20C000A65}" type="pres">
      <dgm:prSet presAssocID="{974D8148-7CD6-4765-A271-661DB74BCB9F}" presName="nodeFollowingNodes" presStyleLbl="node1" presStyleIdx="1" presStyleCnt="4">
        <dgm:presLayoutVars>
          <dgm:bulletEnabled val="1"/>
        </dgm:presLayoutVars>
      </dgm:prSet>
      <dgm:spPr/>
      <dgm:t>
        <a:bodyPr/>
        <a:lstStyle/>
        <a:p>
          <a:endParaRPr lang="ru-RU"/>
        </a:p>
      </dgm:t>
    </dgm:pt>
    <dgm:pt modelId="{51146FA7-8A3D-4482-A01C-24FA3EBFB8E7}" type="pres">
      <dgm:prSet presAssocID="{2A6B33BF-E9C9-408B-B377-F5A5D3DA2041}" presName="nodeFollowingNodes" presStyleLbl="node1" presStyleIdx="2" presStyleCnt="4">
        <dgm:presLayoutVars>
          <dgm:bulletEnabled val="1"/>
        </dgm:presLayoutVars>
      </dgm:prSet>
      <dgm:spPr/>
      <dgm:t>
        <a:bodyPr/>
        <a:lstStyle/>
        <a:p>
          <a:endParaRPr lang="ru-RU"/>
        </a:p>
      </dgm:t>
    </dgm:pt>
    <dgm:pt modelId="{9397330C-B1E5-49AE-986D-BCDED262F3CF}" type="pres">
      <dgm:prSet presAssocID="{2C11523B-C4D6-4D15-B78E-F8E29DB4F135}" presName="nodeFollowingNodes" presStyleLbl="node1" presStyleIdx="3" presStyleCnt="4">
        <dgm:presLayoutVars>
          <dgm:bulletEnabled val="1"/>
        </dgm:presLayoutVars>
      </dgm:prSet>
      <dgm:spPr/>
      <dgm:t>
        <a:bodyPr/>
        <a:lstStyle/>
        <a:p>
          <a:endParaRPr lang="ru-RU"/>
        </a:p>
      </dgm:t>
    </dgm:pt>
  </dgm:ptLst>
  <dgm:cxnLst>
    <dgm:cxn modelId="{507C4BFD-8FDB-4D18-9832-284F0403BAE1}" type="presOf" srcId="{1E0664AF-2BC1-4167-8DAF-7461A275998D}" destId="{DAB9E0E5-0DCC-4589-BD57-5A5771B73C2F}" srcOrd="0" destOrd="0" presId="urn:microsoft.com/office/officeart/2005/8/layout/cycle3"/>
    <dgm:cxn modelId="{5ECB10EC-24BF-4869-AC57-BF2068863D9F}" type="presOf" srcId="{F5F97455-17F4-4EFD-A287-A77B74CFCED7}" destId="{3626AAE7-B9D9-49E7-AC62-C0C20C000A65}" srcOrd="0" destOrd="1" presId="urn:microsoft.com/office/officeart/2005/8/layout/cycle3"/>
    <dgm:cxn modelId="{9EB7F0CF-F2F1-49E7-BD27-7922AE9984CB}" srcId="{1E0664AF-2BC1-4167-8DAF-7461A275998D}" destId="{2C11523B-C4D6-4D15-B78E-F8E29DB4F135}" srcOrd="3" destOrd="0" parTransId="{DD15CB95-B92D-470F-9C25-A38A59366DFE}" sibTransId="{D28E8697-A469-413A-A3C3-DE0C05E61521}"/>
    <dgm:cxn modelId="{2B95E04F-D10B-4699-ACCD-F3373898E812}" srcId="{974D8148-7CD6-4765-A271-661DB74BCB9F}" destId="{F5F97455-17F4-4EFD-A287-A77B74CFCED7}" srcOrd="0" destOrd="0" parTransId="{A704505F-07CE-4EF6-8E90-D2152A832704}" sibTransId="{831DC2E0-E3EB-41A0-A6F8-23F62B0563D0}"/>
    <dgm:cxn modelId="{F96E1A71-D076-4E34-869C-A9CCD1FB0270}" type="presOf" srcId="{974D8148-7CD6-4765-A271-661DB74BCB9F}" destId="{3626AAE7-B9D9-49E7-AC62-C0C20C000A65}" srcOrd="0" destOrd="0" presId="urn:microsoft.com/office/officeart/2005/8/layout/cycle3"/>
    <dgm:cxn modelId="{10B99D6B-6056-40F0-A4D5-35FA32AFD028}" srcId="{2C11523B-C4D6-4D15-B78E-F8E29DB4F135}" destId="{B5E6958B-E4A1-4112-9E3C-21504828EA53}" srcOrd="0" destOrd="0" parTransId="{86B896A5-6A94-4344-8906-1B4492675480}" sibTransId="{506C04A7-4075-4786-92A3-2AB058855644}"/>
    <dgm:cxn modelId="{32F1627D-9AD6-4F97-8AB6-7671828AC468}" type="presOf" srcId="{2C11523B-C4D6-4D15-B78E-F8E29DB4F135}" destId="{9397330C-B1E5-49AE-986D-BCDED262F3CF}" srcOrd="0" destOrd="0" presId="urn:microsoft.com/office/officeart/2005/8/layout/cycle3"/>
    <dgm:cxn modelId="{D23C185A-AA43-4029-84C9-F02AEDCAF9A3}" type="presOf" srcId="{2A6B33BF-E9C9-408B-B377-F5A5D3DA2041}" destId="{51146FA7-8A3D-4482-A01C-24FA3EBFB8E7}" srcOrd="0" destOrd="0" presId="urn:microsoft.com/office/officeart/2005/8/layout/cycle3"/>
    <dgm:cxn modelId="{07087ED4-E802-41BD-BB5D-3B8411B126A0}" type="presOf" srcId="{C73B84B7-CDCB-42B3-84A1-0E907BF02BF8}" destId="{B229C49E-452B-466D-AFD0-C0B08115F4D8}" srcOrd="0" destOrd="1" presId="urn:microsoft.com/office/officeart/2005/8/layout/cycle3"/>
    <dgm:cxn modelId="{998FAA9E-D9D0-4506-A665-173E1C73CB24}" srcId="{6CA5BB82-5EE9-415C-B0F5-32ED9E37F114}" destId="{C73B84B7-CDCB-42B3-84A1-0E907BF02BF8}" srcOrd="0" destOrd="0" parTransId="{E7FEF5BA-06F1-4B9F-927E-2F5A8CBFCA7B}" sibTransId="{DB91CDA1-4A00-47B3-8E0D-D8E71100DBB0}"/>
    <dgm:cxn modelId="{E1BBCE47-3D20-451A-851A-2EBF25CA9C93}" srcId="{1E0664AF-2BC1-4167-8DAF-7461A275998D}" destId="{6CA5BB82-5EE9-415C-B0F5-32ED9E37F114}" srcOrd="0" destOrd="0" parTransId="{A97DAC54-7681-41C6-870C-E485E66BA278}" sibTransId="{4964DECD-4B04-44BE-A8AB-F38247D5633B}"/>
    <dgm:cxn modelId="{446F5A30-2653-4E94-A58C-2E69C6C28E76}" srcId="{1E0664AF-2BC1-4167-8DAF-7461A275998D}" destId="{974D8148-7CD6-4765-A271-661DB74BCB9F}" srcOrd="1" destOrd="0" parTransId="{EA22F676-22EB-4217-89C9-D3A1FD7CA4CA}" sibTransId="{389A062A-562C-406B-9FEE-BB5C15183BCC}"/>
    <dgm:cxn modelId="{17EA4794-9FD0-4FDD-B81A-0FA215440C5F}" type="presOf" srcId="{6CA5BB82-5EE9-415C-B0F5-32ED9E37F114}" destId="{B229C49E-452B-466D-AFD0-C0B08115F4D8}" srcOrd="0" destOrd="0" presId="urn:microsoft.com/office/officeart/2005/8/layout/cycle3"/>
    <dgm:cxn modelId="{A535E78C-4D7E-4260-8A15-987E35832376}" type="presOf" srcId="{B5E6958B-E4A1-4112-9E3C-21504828EA53}" destId="{9397330C-B1E5-49AE-986D-BCDED262F3CF}" srcOrd="0" destOrd="1" presId="urn:microsoft.com/office/officeart/2005/8/layout/cycle3"/>
    <dgm:cxn modelId="{4E573BFF-4534-480D-88AF-7426756FE7A1}" srcId="{2A6B33BF-E9C9-408B-B377-F5A5D3DA2041}" destId="{D5992FC1-D694-4056-A88D-A933131CA468}" srcOrd="0" destOrd="0" parTransId="{CD49F109-6933-4AF7-AB59-AEA012704ABF}" sibTransId="{1E080BEC-FD5F-41CE-B75A-D7EA3651BA0A}"/>
    <dgm:cxn modelId="{E8132CE0-0F26-4B0D-9EAE-70FC18FDE574}" type="presOf" srcId="{D5992FC1-D694-4056-A88D-A933131CA468}" destId="{51146FA7-8A3D-4482-A01C-24FA3EBFB8E7}" srcOrd="0" destOrd="1" presId="urn:microsoft.com/office/officeart/2005/8/layout/cycle3"/>
    <dgm:cxn modelId="{38A5AFB2-CB98-4E2F-944D-C456D4C5AD21}" type="presOf" srcId="{4964DECD-4B04-44BE-A8AB-F38247D5633B}" destId="{5D6F14E0-36B2-4EC0-89E7-565A7FAE527C}" srcOrd="0" destOrd="0" presId="urn:microsoft.com/office/officeart/2005/8/layout/cycle3"/>
    <dgm:cxn modelId="{BA2C2F72-6039-40EF-8161-A13DD05960A2}" srcId="{1E0664AF-2BC1-4167-8DAF-7461A275998D}" destId="{2A6B33BF-E9C9-408B-B377-F5A5D3DA2041}" srcOrd="2" destOrd="0" parTransId="{6A0982D8-616D-4FD7-AE74-B6E6BE6084FC}" sibTransId="{94FECACA-EE97-446A-9575-1D2B5B48D490}"/>
    <dgm:cxn modelId="{BF0A0127-8D6D-4DD0-A871-ECB5AE697CCF}" type="presParOf" srcId="{DAB9E0E5-0DCC-4589-BD57-5A5771B73C2F}" destId="{BB767787-D494-4F4D-952E-5B468B638483}" srcOrd="0" destOrd="0" presId="urn:microsoft.com/office/officeart/2005/8/layout/cycle3"/>
    <dgm:cxn modelId="{264FF58A-EED4-49D3-90FB-4BF56E2FF333}" type="presParOf" srcId="{BB767787-D494-4F4D-952E-5B468B638483}" destId="{B229C49E-452B-466D-AFD0-C0B08115F4D8}" srcOrd="0" destOrd="0" presId="urn:microsoft.com/office/officeart/2005/8/layout/cycle3"/>
    <dgm:cxn modelId="{DE6C58D2-59CD-4455-A6B5-19D85C243AD7}" type="presParOf" srcId="{BB767787-D494-4F4D-952E-5B468B638483}" destId="{5D6F14E0-36B2-4EC0-89E7-565A7FAE527C}" srcOrd="1" destOrd="0" presId="urn:microsoft.com/office/officeart/2005/8/layout/cycle3"/>
    <dgm:cxn modelId="{075BEFBF-4C50-4E61-A214-EC2B8D7346A7}" type="presParOf" srcId="{BB767787-D494-4F4D-952E-5B468B638483}" destId="{3626AAE7-B9D9-49E7-AC62-C0C20C000A65}" srcOrd="2" destOrd="0" presId="urn:microsoft.com/office/officeart/2005/8/layout/cycle3"/>
    <dgm:cxn modelId="{B817536C-8768-412A-BC8D-A360256BA7A0}" type="presParOf" srcId="{BB767787-D494-4F4D-952E-5B468B638483}" destId="{51146FA7-8A3D-4482-A01C-24FA3EBFB8E7}" srcOrd="3" destOrd="0" presId="urn:microsoft.com/office/officeart/2005/8/layout/cycle3"/>
    <dgm:cxn modelId="{0723F8C8-7337-4EF1-A112-8A4500D6F231}" type="presParOf" srcId="{BB767787-D494-4F4D-952E-5B468B638483}" destId="{9397330C-B1E5-49AE-986D-BCDED262F3CF}" srcOrd="4" destOrd="0" presId="urn:microsoft.com/office/officeart/2005/8/layout/cycle3"/>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501F558-9A17-4E75-8151-28176DC4F738}" type="doc">
      <dgm:prSet loTypeId="urn:microsoft.com/office/officeart/2005/8/layout/vList6" loCatId="list" qsTypeId="urn:microsoft.com/office/officeart/2005/8/quickstyle/simple1" qsCatId="simple" csTypeId="urn:microsoft.com/office/officeart/2005/8/colors/accent0_1" csCatId="mainScheme" phldr="1"/>
      <dgm:spPr/>
      <dgm:t>
        <a:bodyPr/>
        <a:lstStyle/>
        <a:p>
          <a:endParaRPr lang="ru-RU"/>
        </a:p>
      </dgm:t>
    </dgm:pt>
    <dgm:pt modelId="{6F165F24-29A2-4562-A850-221CD23A40F2}">
      <dgm:prSet phldrT="[Текст]"/>
      <dgm:spPr/>
      <dgm:t>
        <a:bodyPr/>
        <a:lstStyle/>
        <a:p>
          <a:r>
            <a:rPr lang="ru-RU">
              <a:latin typeface="Times New Roman" panose="02020603050405020304" pitchFamily="18" charset="0"/>
              <a:cs typeface="Times New Roman" panose="02020603050405020304" pitchFamily="18" charset="0"/>
            </a:rPr>
            <a:t>Элементы стратегического планирования региона</a:t>
          </a:r>
        </a:p>
      </dgm:t>
    </dgm:pt>
    <dgm:pt modelId="{7A5C861D-E872-4DE1-999E-8164F1630818}" type="parTrans" cxnId="{5CEFD9C8-BA72-4E70-8B81-6E2C488CBD5E}">
      <dgm:prSet/>
      <dgm:spPr/>
      <dgm:t>
        <a:bodyPr/>
        <a:lstStyle/>
        <a:p>
          <a:endParaRPr lang="ru-RU">
            <a:latin typeface="Times New Roman" panose="02020603050405020304" pitchFamily="18" charset="0"/>
            <a:cs typeface="Times New Roman" panose="02020603050405020304" pitchFamily="18" charset="0"/>
          </a:endParaRPr>
        </a:p>
      </dgm:t>
    </dgm:pt>
    <dgm:pt modelId="{ACF85BAA-7906-4C41-913E-115A43EA9F64}" type="sibTrans" cxnId="{5CEFD9C8-BA72-4E70-8B81-6E2C488CBD5E}">
      <dgm:prSet/>
      <dgm:spPr/>
      <dgm:t>
        <a:bodyPr/>
        <a:lstStyle/>
        <a:p>
          <a:endParaRPr lang="ru-RU">
            <a:latin typeface="Times New Roman" panose="02020603050405020304" pitchFamily="18" charset="0"/>
            <a:cs typeface="Times New Roman" panose="02020603050405020304" pitchFamily="18" charset="0"/>
          </a:endParaRPr>
        </a:p>
      </dgm:t>
    </dgm:pt>
    <dgm:pt modelId="{A1A7C381-D35C-4F7A-9181-E5C5A3D0EB64}">
      <dgm:prSet phldrT="[Текст]"/>
      <dgm:spPr/>
      <dgm:t>
        <a:bodyPr/>
        <a:lstStyle/>
        <a:p>
          <a:r>
            <a:rPr lang="ru-RU">
              <a:latin typeface="Times New Roman" panose="02020603050405020304" pitchFamily="18" charset="0"/>
              <a:cs typeface="Times New Roman" panose="02020603050405020304" pitchFamily="18" charset="0"/>
            </a:rPr>
            <a:t>Формирование целей и критериев развития</a:t>
          </a:r>
        </a:p>
      </dgm:t>
    </dgm:pt>
    <dgm:pt modelId="{C3ED423C-28F0-4916-9E52-EA4543169D34}" type="parTrans" cxnId="{8A6ED9F2-B14A-45AF-AAC0-37FD2A1E73BD}">
      <dgm:prSet/>
      <dgm:spPr/>
      <dgm:t>
        <a:bodyPr/>
        <a:lstStyle/>
        <a:p>
          <a:endParaRPr lang="ru-RU">
            <a:latin typeface="Times New Roman" panose="02020603050405020304" pitchFamily="18" charset="0"/>
            <a:cs typeface="Times New Roman" panose="02020603050405020304" pitchFamily="18" charset="0"/>
          </a:endParaRPr>
        </a:p>
      </dgm:t>
    </dgm:pt>
    <dgm:pt modelId="{DF52B905-BC29-48C0-BF72-A1FA2E480FA2}" type="sibTrans" cxnId="{8A6ED9F2-B14A-45AF-AAC0-37FD2A1E73BD}">
      <dgm:prSet/>
      <dgm:spPr/>
      <dgm:t>
        <a:bodyPr/>
        <a:lstStyle/>
        <a:p>
          <a:endParaRPr lang="ru-RU">
            <a:latin typeface="Times New Roman" panose="02020603050405020304" pitchFamily="18" charset="0"/>
            <a:cs typeface="Times New Roman" panose="02020603050405020304" pitchFamily="18" charset="0"/>
          </a:endParaRPr>
        </a:p>
      </dgm:t>
    </dgm:pt>
    <dgm:pt modelId="{DE713695-DC20-4723-9031-0D28F6DEE2CB}">
      <dgm:prSet/>
      <dgm:spPr/>
      <dgm:t>
        <a:bodyPr/>
        <a:lstStyle/>
        <a:p>
          <a:r>
            <a:rPr lang="ru-RU">
              <a:latin typeface="Times New Roman" panose="02020603050405020304" pitchFamily="18" charset="0"/>
              <a:cs typeface="Times New Roman" panose="02020603050405020304" pitchFamily="18" charset="0"/>
            </a:rPr>
            <a:t>Классификация проблем региона для их последующего решения</a:t>
          </a:r>
        </a:p>
      </dgm:t>
    </dgm:pt>
    <dgm:pt modelId="{35AF521F-46EE-447F-A906-08D722358F17}" type="parTrans" cxnId="{F9C901E0-19DC-4EEB-B6FB-3534DE1A375D}">
      <dgm:prSet/>
      <dgm:spPr/>
      <dgm:t>
        <a:bodyPr/>
        <a:lstStyle/>
        <a:p>
          <a:endParaRPr lang="ru-RU">
            <a:latin typeface="Times New Roman" panose="02020603050405020304" pitchFamily="18" charset="0"/>
            <a:cs typeface="Times New Roman" panose="02020603050405020304" pitchFamily="18" charset="0"/>
          </a:endParaRPr>
        </a:p>
      </dgm:t>
    </dgm:pt>
    <dgm:pt modelId="{53F53DC9-A391-4B91-BA18-4B21522A1B9D}" type="sibTrans" cxnId="{F9C901E0-19DC-4EEB-B6FB-3534DE1A375D}">
      <dgm:prSet/>
      <dgm:spPr/>
      <dgm:t>
        <a:bodyPr/>
        <a:lstStyle/>
        <a:p>
          <a:endParaRPr lang="ru-RU">
            <a:latin typeface="Times New Roman" panose="02020603050405020304" pitchFamily="18" charset="0"/>
            <a:cs typeface="Times New Roman" panose="02020603050405020304" pitchFamily="18" charset="0"/>
          </a:endParaRPr>
        </a:p>
      </dgm:t>
    </dgm:pt>
    <dgm:pt modelId="{F4A50859-B46E-4FFD-8E84-CAFFC2B437CF}">
      <dgm:prSet/>
      <dgm:spPr/>
      <dgm:t>
        <a:bodyPr/>
        <a:lstStyle/>
        <a:p>
          <a:r>
            <a:rPr lang="ru-RU">
              <a:latin typeface="Times New Roman" panose="02020603050405020304" pitchFamily="18" charset="0"/>
              <a:cs typeface="Times New Roman" panose="02020603050405020304" pitchFamily="18" charset="0"/>
            </a:rPr>
            <a:t>Изучение внешней и внутренней среды развития региона</a:t>
          </a:r>
        </a:p>
      </dgm:t>
    </dgm:pt>
    <dgm:pt modelId="{A86A2F5A-5655-4DC4-B445-2E7AF71D884B}" type="parTrans" cxnId="{78FE2509-492A-49B0-A24F-16CF53713302}">
      <dgm:prSet/>
      <dgm:spPr/>
      <dgm:t>
        <a:bodyPr/>
        <a:lstStyle/>
        <a:p>
          <a:endParaRPr lang="ru-RU">
            <a:latin typeface="Times New Roman" panose="02020603050405020304" pitchFamily="18" charset="0"/>
            <a:cs typeface="Times New Roman" panose="02020603050405020304" pitchFamily="18" charset="0"/>
          </a:endParaRPr>
        </a:p>
      </dgm:t>
    </dgm:pt>
    <dgm:pt modelId="{59E8A54A-65B1-4942-B1F2-29C8D6A3499C}" type="sibTrans" cxnId="{78FE2509-492A-49B0-A24F-16CF53713302}">
      <dgm:prSet/>
      <dgm:spPr/>
      <dgm:t>
        <a:bodyPr/>
        <a:lstStyle/>
        <a:p>
          <a:endParaRPr lang="ru-RU">
            <a:latin typeface="Times New Roman" panose="02020603050405020304" pitchFamily="18" charset="0"/>
            <a:cs typeface="Times New Roman" panose="02020603050405020304" pitchFamily="18" charset="0"/>
          </a:endParaRPr>
        </a:p>
      </dgm:t>
    </dgm:pt>
    <dgm:pt modelId="{89D8537A-383F-44AA-9AF9-4A785A452BE2}">
      <dgm:prSet/>
      <dgm:spPr/>
      <dgm:t>
        <a:bodyPr/>
        <a:lstStyle/>
        <a:p>
          <a:r>
            <a:rPr lang="ru-RU">
              <a:latin typeface="Times New Roman" panose="02020603050405020304" pitchFamily="18" charset="0"/>
              <a:cs typeface="Times New Roman" panose="02020603050405020304" pitchFamily="18" charset="0"/>
            </a:rPr>
            <a:t>Классификация и анализ конкурентных преимуществ региона</a:t>
          </a:r>
        </a:p>
      </dgm:t>
    </dgm:pt>
    <dgm:pt modelId="{FCDD563F-5C15-475D-93BC-463DED4C2D89}" type="parTrans" cxnId="{C3DC0666-3278-4C61-93C5-3EAB543F7755}">
      <dgm:prSet/>
      <dgm:spPr/>
      <dgm:t>
        <a:bodyPr/>
        <a:lstStyle/>
        <a:p>
          <a:endParaRPr lang="ru-RU">
            <a:latin typeface="Times New Roman" panose="02020603050405020304" pitchFamily="18" charset="0"/>
            <a:cs typeface="Times New Roman" panose="02020603050405020304" pitchFamily="18" charset="0"/>
          </a:endParaRPr>
        </a:p>
      </dgm:t>
    </dgm:pt>
    <dgm:pt modelId="{B342767F-B31E-483F-82FE-4CE6E9921BC3}" type="sibTrans" cxnId="{C3DC0666-3278-4C61-93C5-3EAB543F7755}">
      <dgm:prSet/>
      <dgm:spPr/>
      <dgm:t>
        <a:bodyPr/>
        <a:lstStyle/>
        <a:p>
          <a:endParaRPr lang="ru-RU">
            <a:latin typeface="Times New Roman" panose="02020603050405020304" pitchFamily="18" charset="0"/>
            <a:cs typeface="Times New Roman" panose="02020603050405020304" pitchFamily="18" charset="0"/>
          </a:endParaRPr>
        </a:p>
      </dgm:t>
    </dgm:pt>
    <dgm:pt modelId="{0A4ABEAD-AA9E-44B3-8126-E304CCA25073}">
      <dgm:prSet/>
      <dgm:spPr/>
      <dgm:t>
        <a:bodyPr/>
        <a:lstStyle/>
        <a:p>
          <a:r>
            <a:rPr lang="ru-RU">
              <a:latin typeface="Times New Roman" panose="02020603050405020304" pitchFamily="18" charset="0"/>
              <a:cs typeface="Times New Roman" panose="02020603050405020304" pitchFamily="18" charset="0"/>
            </a:rPr>
            <a:t>Выбор альтернативных вариантов развития</a:t>
          </a:r>
        </a:p>
      </dgm:t>
    </dgm:pt>
    <dgm:pt modelId="{6D8A261E-802B-4A76-8306-2E4FACDFBF0C}" type="parTrans" cxnId="{ED9B8262-E282-4437-B782-A9E36189A7D6}">
      <dgm:prSet/>
      <dgm:spPr/>
      <dgm:t>
        <a:bodyPr/>
        <a:lstStyle/>
        <a:p>
          <a:endParaRPr lang="ru-RU">
            <a:latin typeface="Times New Roman" panose="02020603050405020304" pitchFamily="18" charset="0"/>
            <a:cs typeface="Times New Roman" panose="02020603050405020304" pitchFamily="18" charset="0"/>
          </a:endParaRPr>
        </a:p>
      </dgm:t>
    </dgm:pt>
    <dgm:pt modelId="{E949BD2D-68E9-4341-9078-9A04FF994816}" type="sibTrans" cxnId="{ED9B8262-E282-4437-B782-A9E36189A7D6}">
      <dgm:prSet/>
      <dgm:spPr/>
      <dgm:t>
        <a:bodyPr/>
        <a:lstStyle/>
        <a:p>
          <a:endParaRPr lang="ru-RU">
            <a:latin typeface="Times New Roman" panose="02020603050405020304" pitchFamily="18" charset="0"/>
            <a:cs typeface="Times New Roman" panose="02020603050405020304" pitchFamily="18" charset="0"/>
          </a:endParaRPr>
        </a:p>
      </dgm:t>
    </dgm:pt>
    <dgm:pt modelId="{78AB9B66-0128-4F1A-8797-A61872B92A0C}" type="pres">
      <dgm:prSet presAssocID="{C501F558-9A17-4E75-8151-28176DC4F738}" presName="Name0" presStyleCnt="0">
        <dgm:presLayoutVars>
          <dgm:dir/>
          <dgm:animLvl val="lvl"/>
          <dgm:resizeHandles/>
        </dgm:presLayoutVars>
      </dgm:prSet>
      <dgm:spPr/>
      <dgm:t>
        <a:bodyPr/>
        <a:lstStyle/>
        <a:p>
          <a:endParaRPr lang="ru-RU"/>
        </a:p>
      </dgm:t>
    </dgm:pt>
    <dgm:pt modelId="{9E101E91-AF27-4C26-837A-FA09D1E380DE}" type="pres">
      <dgm:prSet presAssocID="{6F165F24-29A2-4562-A850-221CD23A40F2}" presName="linNode" presStyleCnt="0"/>
      <dgm:spPr/>
    </dgm:pt>
    <dgm:pt modelId="{B8313FDB-72C6-4B26-8049-7011C0120388}" type="pres">
      <dgm:prSet presAssocID="{6F165F24-29A2-4562-A850-221CD23A40F2}" presName="parentShp" presStyleLbl="node1" presStyleIdx="0" presStyleCnt="6">
        <dgm:presLayoutVars>
          <dgm:bulletEnabled val="1"/>
        </dgm:presLayoutVars>
      </dgm:prSet>
      <dgm:spPr/>
      <dgm:t>
        <a:bodyPr/>
        <a:lstStyle/>
        <a:p>
          <a:endParaRPr lang="ru-RU"/>
        </a:p>
      </dgm:t>
    </dgm:pt>
    <dgm:pt modelId="{4FB7E634-9ADE-46EE-A94A-9F52C2FF4EEF}" type="pres">
      <dgm:prSet presAssocID="{6F165F24-29A2-4562-A850-221CD23A40F2}" presName="childShp" presStyleLbl="bgAccFollowNode1" presStyleIdx="0" presStyleCnt="6">
        <dgm:presLayoutVars>
          <dgm:bulletEnabled val="1"/>
        </dgm:presLayoutVars>
      </dgm:prSet>
      <dgm:spPr/>
    </dgm:pt>
    <dgm:pt modelId="{92F57A09-F04A-4FA7-9064-434A50625043}" type="pres">
      <dgm:prSet presAssocID="{ACF85BAA-7906-4C41-913E-115A43EA9F64}" presName="spacing" presStyleCnt="0"/>
      <dgm:spPr/>
    </dgm:pt>
    <dgm:pt modelId="{AC969F76-2FDE-4DAE-AB94-CA9ED5C33649}" type="pres">
      <dgm:prSet presAssocID="{A1A7C381-D35C-4F7A-9181-E5C5A3D0EB64}" presName="linNode" presStyleCnt="0"/>
      <dgm:spPr/>
    </dgm:pt>
    <dgm:pt modelId="{BE5BCB2D-8812-4509-A921-343A1778ACD0}" type="pres">
      <dgm:prSet presAssocID="{A1A7C381-D35C-4F7A-9181-E5C5A3D0EB64}" presName="parentShp" presStyleLbl="node1" presStyleIdx="1" presStyleCnt="6">
        <dgm:presLayoutVars>
          <dgm:bulletEnabled val="1"/>
        </dgm:presLayoutVars>
      </dgm:prSet>
      <dgm:spPr/>
      <dgm:t>
        <a:bodyPr/>
        <a:lstStyle/>
        <a:p>
          <a:endParaRPr lang="ru-RU"/>
        </a:p>
      </dgm:t>
    </dgm:pt>
    <dgm:pt modelId="{6707020D-E48C-415D-9B67-DF29760B6667}" type="pres">
      <dgm:prSet presAssocID="{A1A7C381-D35C-4F7A-9181-E5C5A3D0EB64}" presName="childShp" presStyleLbl="bgAccFollowNode1" presStyleIdx="1" presStyleCnt="6">
        <dgm:presLayoutVars>
          <dgm:bulletEnabled val="1"/>
        </dgm:presLayoutVars>
      </dgm:prSet>
      <dgm:spPr/>
    </dgm:pt>
    <dgm:pt modelId="{797000D5-0EC4-4378-A1F8-209FC034448F}" type="pres">
      <dgm:prSet presAssocID="{DF52B905-BC29-48C0-BF72-A1FA2E480FA2}" presName="spacing" presStyleCnt="0"/>
      <dgm:spPr/>
    </dgm:pt>
    <dgm:pt modelId="{0475F24E-C7F5-4385-B10E-885984592F70}" type="pres">
      <dgm:prSet presAssocID="{DE713695-DC20-4723-9031-0D28F6DEE2CB}" presName="linNode" presStyleCnt="0"/>
      <dgm:spPr/>
    </dgm:pt>
    <dgm:pt modelId="{B723A71A-54ED-40F3-8420-2ABF6D0A1622}" type="pres">
      <dgm:prSet presAssocID="{DE713695-DC20-4723-9031-0D28F6DEE2CB}" presName="parentShp" presStyleLbl="node1" presStyleIdx="2" presStyleCnt="6">
        <dgm:presLayoutVars>
          <dgm:bulletEnabled val="1"/>
        </dgm:presLayoutVars>
      </dgm:prSet>
      <dgm:spPr/>
      <dgm:t>
        <a:bodyPr/>
        <a:lstStyle/>
        <a:p>
          <a:endParaRPr lang="ru-RU"/>
        </a:p>
      </dgm:t>
    </dgm:pt>
    <dgm:pt modelId="{8D79A956-0896-4F5A-B4B6-76A35733658A}" type="pres">
      <dgm:prSet presAssocID="{DE713695-DC20-4723-9031-0D28F6DEE2CB}" presName="childShp" presStyleLbl="bgAccFollowNode1" presStyleIdx="2" presStyleCnt="6">
        <dgm:presLayoutVars>
          <dgm:bulletEnabled val="1"/>
        </dgm:presLayoutVars>
      </dgm:prSet>
      <dgm:spPr/>
    </dgm:pt>
    <dgm:pt modelId="{8EC64FC1-1D73-4A71-8E46-31DDEA433DED}" type="pres">
      <dgm:prSet presAssocID="{53F53DC9-A391-4B91-BA18-4B21522A1B9D}" presName="spacing" presStyleCnt="0"/>
      <dgm:spPr/>
    </dgm:pt>
    <dgm:pt modelId="{ABF4D0A0-190A-4E6E-8682-8E92C9DFAD4C}" type="pres">
      <dgm:prSet presAssocID="{F4A50859-B46E-4FFD-8E84-CAFFC2B437CF}" presName="linNode" presStyleCnt="0"/>
      <dgm:spPr/>
    </dgm:pt>
    <dgm:pt modelId="{B00AA025-4AEF-473D-975A-FE10B7719B10}" type="pres">
      <dgm:prSet presAssocID="{F4A50859-B46E-4FFD-8E84-CAFFC2B437CF}" presName="parentShp" presStyleLbl="node1" presStyleIdx="3" presStyleCnt="6">
        <dgm:presLayoutVars>
          <dgm:bulletEnabled val="1"/>
        </dgm:presLayoutVars>
      </dgm:prSet>
      <dgm:spPr/>
      <dgm:t>
        <a:bodyPr/>
        <a:lstStyle/>
        <a:p>
          <a:endParaRPr lang="ru-RU"/>
        </a:p>
      </dgm:t>
    </dgm:pt>
    <dgm:pt modelId="{7C2C5530-5D61-4E2E-811C-DE461621FCBD}" type="pres">
      <dgm:prSet presAssocID="{F4A50859-B46E-4FFD-8E84-CAFFC2B437CF}" presName="childShp" presStyleLbl="bgAccFollowNode1" presStyleIdx="3" presStyleCnt="6">
        <dgm:presLayoutVars>
          <dgm:bulletEnabled val="1"/>
        </dgm:presLayoutVars>
      </dgm:prSet>
      <dgm:spPr/>
    </dgm:pt>
    <dgm:pt modelId="{632C9C94-E1C8-4326-978C-031236FD092A}" type="pres">
      <dgm:prSet presAssocID="{59E8A54A-65B1-4942-B1F2-29C8D6A3499C}" presName="spacing" presStyleCnt="0"/>
      <dgm:spPr/>
    </dgm:pt>
    <dgm:pt modelId="{F273EC6D-2164-4D37-A4CC-41C0AD9D235B}" type="pres">
      <dgm:prSet presAssocID="{89D8537A-383F-44AA-9AF9-4A785A452BE2}" presName="linNode" presStyleCnt="0"/>
      <dgm:spPr/>
    </dgm:pt>
    <dgm:pt modelId="{80C396A5-667A-47A5-9BD4-865695AAAC08}" type="pres">
      <dgm:prSet presAssocID="{89D8537A-383F-44AA-9AF9-4A785A452BE2}" presName="parentShp" presStyleLbl="node1" presStyleIdx="4" presStyleCnt="6">
        <dgm:presLayoutVars>
          <dgm:bulletEnabled val="1"/>
        </dgm:presLayoutVars>
      </dgm:prSet>
      <dgm:spPr/>
      <dgm:t>
        <a:bodyPr/>
        <a:lstStyle/>
        <a:p>
          <a:endParaRPr lang="ru-RU"/>
        </a:p>
      </dgm:t>
    </dgm:pt>
    <dgm:pt modelId="{357DA69F-9F29-43D7-96B7-73195A3F303E}" type="pres">
      <dgm:prSet presAssocID="{89D8537A-383F-44AA-9AF9-4A785A452BE2}" presName="childShp" presStyleLbl="bgAccFollowNode1" presStyleIdx="4" presStyleCnt="6">
        <dgm:presLayoutVars>
          <dgm:bulletEnabled val="1"/>
        </dgm:presLayoutVars>
      </dgm:prSet>
      <dgm:spPr/>
    </dgm:pt>
    <dgm:pt modelId="{7D1CF67D-D643-4B29-8420-37127B2A0EA9}" type="pres">
      <dgm:prSet presAssocID="{B342767F-B31E-483F-82FE-4CE6E9921BC3}" presName="spacing" presStyleCnt="0"/>
      <dgm:spPr/>
    </dgm:pt>
    <dgm:pt modelId="{E7501FB0-28E7-4AE5-9416-16704BB6700A}" type="pres">
      <dgm:prSet presAssocID="{0A4ABEAD-AA9E-44B3-8126-E304CCA25073}" presName="linNode" presStyleCnt="0"/>
      <dgm:spPr/>
    </dgm:pt>
    <dgm:pt modelId="{74CB45D5-C97C-47EB-832E-22C86F26ABFF}" type="pres">
      <dgm:prSet presAssocID="{0A4ABEAD-AA9E-44B3-8126-E304CCA25073}" presName="parentShp" presStyleLbl="node1" presStyleIdx="5" presStyleCnt="6">
        <dgm:presLayoutVars>
          <dgm:bulletEnabled val="1"/>
        </dgm:presLayoutVars>
      </dgm:prSet>
      <dgm:spPr/>
      <dgm:t>
        <a:bodyPr/>
        <a:lstStyle/>
        <a:p>
          <a:endParaRPr lang="ru-RU"/>
        </a:p>
      </dgm:t>
    </dgm:pt>
    <dgm:pt modelId="{70377B19-6C31-4431-9A0D-1A76CC7AFCCC}" type="pres">
      <dgm:prSet presAssocID="{0A4ABEAD-AA9E-44B3-8126-E304CCA25073}" presName="childShp" presStyleLbl="bgAccFollowNode1" presStyleIdx="5" presStyleCnt="6">
        <dgm:presLayoutVars>
          <dgm:bulletEnabled val="1"/>
        </dgm:presLayoutVars>
      </dgm:prSet>
      <dgm:spPr/>
    </dgm:pt>
  </dgm:ptLst>
  <dgm:cxnLst>
    <dgm:cxn modelId="{3560CDE4-1B56-4CF1-AD59-17391E9014EA}" type="presOf" srcId="{A1A7C381-D35C-4F7A-9181-E5C5A3D0EB64}" destId="{BE5BCB2D-8812-4509-A921-343A1778ACD0}" srcOrd="0" destOrd="0" presId="urn:microsoft.com/office/officeart/2005/8/layout/vList6"/>
    <dgm:cxn modelId="{A621AA69-0B8D-4962-97D9-DEE825DBBE8D}" type="presOf" srcId="{DE713695-DC20-4723-9031-0D28F6DEE2CB}" destId="{B723A71A-54ED-40F3-8420-2ABF6D0A1622}" srcOrd="0" destOrd="0" presId="urn:microsoft.com/office/officeart/2005/8/layout/vList6"/>
    <dgm:cxn modelId="{F9C901E0-19DC-4EEB-B6FB-3534DE1A375D}" srcId="{C501F558-9A17-4E75-8151-28176DC4F738}" destId="{DE713695-DC20-4723-9031-0D28F6DEE2CB}" srcOrd="2" destOrd="0" parTransId="{35AF521F-46EE-447F-A906-08D722358F17}" sibTransId="{53F53DC9-A391-4B91-BA18-4B21522A1B9D}"/>
    <dgm:cxn modelId="{0BE06233-F4FD-4DDC-B12B-F81FD9C78442}" type="presOf" srcId="{F4A50859-B46E-4FFD-8E84-CAFFC2B437CF}" destId="{B00AA025-4AEF-473D-975A-FE10B7719B10}" srcOrd="0" destOrd="0" presId="urn:microsoft.com/office/officeart/2005/8/layout/vList6"/>
    <dgm:cxn modelId="{B9B44DA5-A4BA-4120-976E-D8FBEA633EC8}" type="presOf" srcId="{89D8537A-383F-44AA-9AF9-4A785A452BE2}" destId="{80C396A5-667A-47A5-9BD4-865695AAAC08}" srcOrd="0" destOrd="0" presId="urn:microsoft.com/office/officeart/2005/8/layout/vList6"/>
    <dgm:cxn modelId="{78FE2509-492A-49B0-A24F-16CF53713302}" srcId="{C501F558-9A17-4E75-8151-28176DC4F738}" destId="{F4A50859-B46E-4FFD-8E84-CAFFC2B437CF}" srcOrd="3" destOrd="0" parTransId="{A86A2F5A-5655-4DC4-B445-2E7AF71D884B}" sibTransId="{59E8A54A-65B1-4942-B1F2-29C8D6A3499C}"/>
    <dgm:cxn modelId="{8A6ED9F2-B14A-45AF-AAC0-37FD2A1E73BD}" srcId="{C501F558-9A17-4E75-8151-28176DC4F738}" destId="{A1A7C381-D35C-4F7A-9181-E5C5A3D0EB64}" srcOrd="1" destOrd="0" parTransId="{C3ED423C-28F0-4916-9E52-EA4543169D34}" sibTransId="{DF52B905-BC29-48C0-BF72-A1FA2E480FA2}"/>
    <dgm:cxn modelId="{5CEFD9C8-BA72-4E70-8B81-6E2C488CBD5E}" srcId="{C501F558-9A17-4E75-8151-28176DC4F738}" destId="{6F165F24-29A2-4562-A850-221CD23A40F2}" srcOrd="0" destOrd="0" parTransId="{7A5C861D-E872-4DE1-999E-8164F1630818}" sibTransId="{ACF85BAA-7906-4C41-913E-115A43EA9F64}"/>
    <dgm:cxn modelId="{ED9B8262-E282-4437-B782-A9E36189A7D6}" srcId="{C501F558-9A17-4E75-8151-28176DC4F738}" destId="{0A4ABEAD-AA9E-44B3-8126-E304CCA25073}" srcOrd="5" destOrd="0" parTransId="{6D8A261E-802B-4A76-8306-2E4FACDFBF0C}" sibTransId="{E949BD2D-68E9-4341-9078-9A04FF994816}"/>
    <dgm:cxn modelId="{FBEA88FC-0101-4901-BA5B-239A7B05BD77}" type="presOf" srcId="{0A4ABEAD-AA9E-44B3-8126-E304CCA25073}" destId="{74CB45D5-C97C-47EB-832E-22C86F26ABFF}" srcOrd="0" destOrd="0" presId="urn:microsoft.com/office/officeart/2005/8/layout/vList6"/>
    <dgm:cxn modelId="{7918C59F-36F4-434E-A4BE-1922790838B5}" type="presOf" srcId="{6F165F24-29A2-4562-A850-221CD23A40F2}" destId="{B8313FDB-72C6-4B26-8049-7011C0120388}" srcOrd="0" destOrd="0" presId="urn:microsoft.com/office/officeart/2005/8/layout/vList6"/>
    <dgm:cxn modelId="{1A6F60E1-84CC-41FD-A5BE-0929D520DA5E}" type="presOf" srcId="{C501F558-9A17-4E75-8151-28176DC4F738}" destId="{78AB9B66-0128-4F1A-8797-A61872B92A0C}" srcOrd="0" destOrd="0" presId="urn:microsoft.com/office/officeart/2005/8/layout/vList6"/>
    <dgm:cxn modelId="{C3DC0666-3278-4C61-93C5-3EAB543F7755}" srcId="{C501F558-9A17-4E75-8151-28176DC4F738}" destId="{89D8537A-383F-44AA-9AF9-4A785A452BE2}" srcOrd="4" destOrd="0" parTransId="{FCDD563F-5C15-475D-93BC-463DED4C2D89}" sibTransId="{B342767F-B31E-483F-82FE-4CE6E9921BC3}"/>
    <dgm:cxn modelId="{E85B559E-0B41-4135-B0E8-7C3E7ECC9C57}" type="presParOf" srcId="{78AB9B66-0128-4F1A-8797-A61872B92A0C}" destId="{9E101E91-AF27-4C26-837A-FA09D1E380DE}" srcOrd="0" destOrd="0" presId="urn:microsoft.com/office/officeart/2005/8/layout/vList6"/>
    <dgm:cxn modelId="{2B2D376C-671F-458E-A89D-BAC295054E86}" type="presParOf" srcId="{9E101E91-AF27-4C26-837A-FA09D1E380DE}" destId="{B8313FDB-72C6-4B26-8049-7011C0120388}" srcOrd="0" destOrd="0" presId="urn:microsoft.com/office/officeart/2005/8/layout/vList6"/>
    <dgm:cxn modelId="{1F19F214-2C16-442E-8097-544C5F7D433B}" type="presParOf" srcId="{9E101E91-AF27-4C26-837A-FA09D1E380DE}" destId="{4FB7E634-9ADE-46EE-A94A-9F52C2FF4EEF}" srcOrd="1" destOrd="0" presId="urn:microsoft.com/office/officeart/2005/8/layout/vList6"/>
    <dgm:cxn modelId="{B033A2A0-23AB-4D2B-BC83-C23ED951AEEE}" type="presParOf" srcId="{78AB9B66-0128-4F1A-8797-A61872B92A0C}" destId="{92F57A09-F04A-4FA7-9064-434A50625043}" srcOrd="1" destOrd="0" presId="urn:microsoft.com/office/officeart/2005/8/layout/vList6"/>
    <dgm:cxn modelId="{E4F57BA1-C620-4BD7-8D5C-99F2D97CDFE0}" type="presParOf" srcId="{78AB9B66-0128-4F1A-8797-A61872B92A0C}" destId="{AC969F76-2FDE-4DAE-AB94-CA9ED5C33649}" srcOrd="2" destOrd="0" presId="urn:microsoft.com/office/officeart/2005/8/layout/vList6"/>
    <dgm:cxn modelId="{E085DEFD-CBCC-49BD-A03B-69CB5F845F0B}" type="presParOf" srcId="{AC969F76-2FDE-4DAE-AB94-CA9ED5C33649}" destId="{BE5BCB2D-8812-4509-A921-343A1778ACD0}" srcOrd="0" destOrd="0" presId="urn:microsoft.com/office/officeart/2005/8/layout/vList6"/>
    <dgm:cxn modelId="{3F2DF20A-BAE7-4AA1-A47E-6624347BDDD0}" type="presParOf" srcId="{AC969F76-2FDE-4DAE-AB94-CA9ED5C33649}" destId="{6707020D-E48C-415D-9B67-DF29760B6667}" srcOrd="1" destOrd="0" presId="urn:microsoft.com/office/officeart/2005/8/layout/vList6"/>
    <dgm:cxn modelId="{C47CBDA7-DA07-4E6E-85B4-6FD406409AB5}" type="presParOf" srcId="{78AB9B66-0128-4F1A-8797-A61872B92A0C}" destId="{797000D5-0EC4-4378-A1F8-209FC034448F}" srcOrd="3" destOrd="0" presId="urn:microsoft.com/office/officeart/2005/8/layout/vList6"/>
    <dgm:cxn modelId="{3439ECAF-900E-4F4E-B524-3A7EC3D44D8A}" type="presParOf" srcId="{78AB9B66-0128-4F1A-8797-A61872B92A0C}" destId="{0475F24E-C7F5-4385-B10E-885984592F70}" srcOrd="4" destOrd="0" presId="urn:microsoft.com/office/officeart/2005/8/layout/vList6"/>
    <dgm:cxn modelId="{E870EE8F-B76F-4217-95ED-2DEA0E39F688}" type="presParOf" srcId="{0475F24E-C7F5-4385-B10E-885984592F70}" destId="{B723A71A-54ED-40F3-8420-2ABF6D0A1622}" srcOrd="0" destOrd="0" presId="urn:microsoft.com/office/officeart/2005/8/layout/vList6"/>
    <dgm:cxn modelId="{04BD4510-12FD-4456-88EC-C2BF6EF22599}" type="presParOf" srcId="{0475F24E-C7F5-4385-B10E-885984592F70}" destId="{8D79A956-0896-4F5A-B4B6-76A35733658A}" srcOrd="1" destOrd="0" presId="urn:microsoft.com/office/officeart/2005/8/layout/vList6"/>
    <dgm:cxn modelId="{1C86A41E-693C-430C-9772-FFB8B4310100}" type="presParOf" srcId="{78AB9B66-0128-4F1A-8797-A61872B92A0C}" destId="{8EC64FC1-1D73-4A71-8E46-31DDEA433DED}" srcOrd="5" destOrd="0" presId="urn:microsoft.com/office/officeart/2005/8/layout/vList6"/>
    <dgm:cxn modelId="{3DB5409B-ED42-499F-9D77-7E3510198394}" type="presParOf" srcId="{78AB9B66-0128-4F1A-8797-A61872B92A0C}" destId="{ABF4D0A0-190A-4E6E-8682-8E92C9DFAD4C}" srcOrd="6" destOrd="0" presId="urn:microsoft.com/office/officeart/2005/8/layout/vList6"/>
    <dgm:cxn modelId="{5F8EE794-1285-4C07-A75D-6CA9DA1F9BA6}" type="presParOf" srcId="{ABF4D0A0-190A-4E6E-8682-8E92C9DFAD4C}" destId="{B00AA025-4AEF-473D-975A-FE10B7719B10}" srcOrd="0" destOrd="0" presId="urn:microsoft.com/office/officeart/2005/8/layout/vList6"/>
    <dgm:cxn modelId="{4941B627-7F3F-4C45-B334-2D049A8E32E7}" type="presParOf" srcId="{ABF4D0A0-190A-4E6E-8682-8E92C9DFAD4C}" destId="{7C2C5530-5D61-4E2E-811C-DE461621FCBD}" srcOrd="1" destOrd="0" presId="urn:microsoft.com/office/officeart/2005/8/layout/vList6"/>
    <dgm:cxn modelId="{535DDE21-408F-4C69-B51E-72CC305F8BD2}" type="presParOf" srcId="{78AB9B66-0128-4F1A-8797-A61872B92A0C}" destId="{632C9C94-E1C8-4326-978C-031236FD092A}" srcOrd="7" destOrd="0" presId="urn:microsoft.com/office/officeart/2005/8/layout/vList6"/>
    <dgm:cxn modelId="{43890324-61BD-40F3-87B7-F95AA00808E0}" type="presParOf" srcId="{78AB9B66-0128-4F1A-8797-A61872B92A0C}" destId="{F273EC6D-2164-4D37-A4CC-41C0AD9D235B}" srcOrd="8" destOrd="0" presId="urn:microsoft.com/office/officeart/2005/8/layout/vList6"/>
    <dgm:cxn modelId="{A74E3F66-099E-4D59-AC15-FAC6B3AA1102}" type="presParOf" srcId="{F273EC6D-2164-4D37-A4CC-41C0AD9D235B}" destId="{80C396A5-667A-47A5-9BD4-865695AAAC08}" srcOrd="0" destOrd="0" presId="urn:microsoft.com/office/officeart/2005/8/layout/vList6"/>
    <dgm:cxn modelId="{718B1C67-3D43-4344-84DA-FB76A937F337}" type="presParOf" srcId="{F273EC6D-2164-4D37-A4CC-41C0AD9D235B}" destId="{357DA69F-9F29-43D7-96B7-73195A3F303E}" srcOrd="1" destOrd="0" presId="urn:microsoft.com/office/officeart/2005/8/layout/vList6"/>
    <dgm:cxn modelId="{E5B6A2DE-9328-4E98-8FFD-E081CA7E2FBC}" type="presParOf" srcId="{78AB9B66-0128-4F1A-8797-A61872B92A0C}" destId="{7D1CF67D-D643-4B29-8420-37127B2A0EA9}" srcOrd="9" destOrd="0" presId="urn:microsoft.com/office/officeart/2005/8/layout/vList6"/>
    <dgm:cxn modelId="{0E3088BF-DF88-47C5-A1DC-C257EE27310F}" type="presParOf" srcId="{78AB9B66-0128-4F1A-8797-A61872B92A0C}" destId="{E7501FB0-28E7-4AE5-9416-16704BB6700A}" srcOrd="10" destOrd="0" presId="urn:microsoft.com/office/officeart/2005/8/layout/vList6"/>
    <dgm:cxn modelId="{D09F5785-7EBD-44AC-B92D-C477E1E45555}" type="presParOf" srcId="{E7501FB0-28E7-4AE5-9416-16704BB6700A}" destId="{74CB45D5-C97C-47EB-832E-22C86F26ABFF}" srcOrd="0" destOrd="0" presId="urn:microsoft.com/office/officeart/2005/8/layout/vList6"/>
    <dgm:cxn modelId="{32F577F0-793F-493B-844E-91A611242357}" type="presParOf" srcId="{E7501FB0-28E7-4AE5-9416-16704BB6700A}" destId="{70377B19-6C31-4431-9A0D-1A76CC7AFCCC}" srcOrd="1" destOrd="0" presId="urn:microsoft.com/office/officeart/2005/8/layout/vList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D6F14E0-36B2-4EC0-89E7-565A7FAE527C}">
      <dsp:nvSpPr>
        <dsp:cNvPr id="0" name=""/>
        <dsp:cNvSpPr/>
      </dsp:nvSpPr>
      <dsp:spPr>
        <a:xfrm>
          <a:off x="1513599" y="-53582"/>
          <a:ext cx="2847820" cy="2847820"/>
        </a:xfrm>
        <a:prstGeom prst="circularArrow">
          <a:avLst>
            <a:gd name="adj1" fmla="val 4668"/>
            <a:gd name="adj2" fmla="val 272909"/>
            <a:gd name="adj3" fmla="val 13013884"/>
            <a:gd name="adj4" fmla="val 17907684"/>
            <a:gd name="adj5" fmla="val 4847"/>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B229C49E-452B-466D-AFD0-C0B08115F4D8}">
      <dsp:nvSpPr>
        <dsp:cNvPr id="0" name=""/>
        <dsp:cNvSpPr/>
      </dsp:nvSpPr>
      <dsp:spPr>
        <a:xfrm>
          <a:off x="2033881" y="98"/>
          <a:ext cx="1807257" cy="903628"/>
        </a:xfrm>
        <a:prstGeom prst="roundRec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41910" tIns="41910" rIns="41910" bIns="41910" numCol="1" spcCol="1270" anchor="t" anchorCtr="0">
          <a:noAutofit/>
        </a:bodyPr>
        <a:lstStyle/>
        <a:p>
          <a:pPr lvl="0" algn="l"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Субъект </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Ресурсное обеспечение </a:t>
          </a:r>
        </a:p>
      </dsp:txBody>
      <dsp:txXfrm>
        <a:off x="2077992" y="44209"/>
        <a:ext cx="1719035" cy="815406"/>
      </dsp:txXfrm>
    </dsp:sp>
    <dsp:sp modelId="{3626AAE7-B9D9-49E7-AC62-C0C20C000A65}">
      <dsp:nvSpPr>
        <dsp:cNvPr id="0" name=""/>
        <dsp:cNvSpPr/>
      </dsp:nvSpPr>
      <dsp:spPr>
        <a:xfrm>
          <a:off x="3056438" y="1022655"/>
          <a:ext cx="1807257" cy="903628"/>
        </a:xfrm>
        <a:prstGeom prst="roundRec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41910" tIns="41910" rIns="41910" bIns="41910" numCol="1" spcCol="1270" anchor="t" anchorCtr="0">
          <a:noAutofit/>
        </a:bodyPr>
        <a:lstStyle/>
        <a:p>
          <a:pPr lvl="0" algn="l"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Объект </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Факторы влияния </a:t>
          </a:r>
        </a:p>
      </dsp:txBody>
      <dsp:txXfrm>
        <a:off x="3100549" y="1066766"/>
        <a:ext cx="1719035" cy="815406"/>
      </dsp:txXfrm>
    </dsp:sp>
    <dsp:sp modelId="{51146FA7-8A3D-4482-A01C-24FA3EBFB8E7}">
      <dsp:nvSpPr>
        <dsp:cNvPr id="0" name=""/>
        <dsp:cNvSpPr/>
      </dsp:nvSpPr>
      <dsp:spPr>
        <a:xfrm>
          <a:off x="2033881" y="2045212"/>
          <a:ext cx="1807257" cy="903628"/>
        </a:xfrm>
        <a:prstGeom prst="roundRec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41910" tIns="41910" rIns="41910" bIns="41910" numCol="1" spcCol="1270" anchor="t" anchorCtr="0">
          <a:noAutofit/>
        </a:bodyPr>
        <a:lstStyle/>
        <a:p>
          <a:pPr lvl="0" algn="l"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Механизм взаимодействия и обратная связь </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Внутреняя среда </a:t>
          </a:r>
        </a:p>
      </dsp:txBody>
      <dsp:txXfrm>
        <a:off x="2077992" y="2089323"/>
        <a:ext cx="1719035" cy="815406"/>
      </dsp:txXfrm>
    </dsp:sp>
    <dsp:sp modelId="{9397330C-B1E5-49AE-986D-BCDED262F3CF}">
      <dsp:nvSpPr>
        <dsp:cNvPr id="0" name=""/>
        <dsp:cNvSpPr/>
      </dsp:nvSpPr>
      <dsp:spPr>
        <a:xfrm>
          <a:off x="1011324" y="1022655"/>
          <a:ext cx="1807257" cy="903628"/>
        </a:xfrm>
        <a:prstGeom prst="roundRec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41910" tIns="41910" rIns="41910" bIns="41910" numCol="1" spcCol="1270" anchor="t" anchorCtr="0">
          <a:noAutofit/>
        </a:bodyPr>
        <a:lstStyle/>
        <a:p>
          <a:pPr lvl="0" algn="l"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Показатели и индикаторы </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Внешняя среда </a:t>
          </a:r>
        </a:p>
      </dsp:txBody>
      <dsp:txXfrm>
        <a:off x="1055435" y="1066766"/>
        <a:ext cx="1719035" cy="81540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FB7E634-9ADE-46EE-A94A-9F52C2FF4EEF}">
      <dsp:nvSpPr>
        <dsp:cNvPr id="0" name=""/>
        <dsp:cNvSpPr/>
      </dsp:nvSpPr>
      <dsp:spPr>
        <a:xfrm>
          <a:off x="2423159" y="392"/>
          <a:ext cx="3634740" cy="494593"/>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8313FDB-72C6-4B26-8049-7011C0120388}">
      <dsp:nvSpPr>
        <dsp:cNvPr id="0" name=""/>
        <dsp:cNvSpPr/>
      </dsp:nvSpPr>
      <dsp:spPr>
        <a:xfrm>
          <a:off x="0" y="392"/>
          <a:ext cx="2423160" cy="494593"/>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Элементы стратегического планирования региона</a:t>
          </a:r>
        </a:p>
      </dsp:txBody>
      <dsp:txXfrm>
        <a:off x="24144" y="24536"/>
        <a:ext cx="2374872" cy="446305"/>
      </dsp:txXfrm>
    </dsp:sp>
    <dsp:sp modelId="{6707020D-E48C-415D-9B67-DF29760B6667}">
      <dsp:nvSpPr>
        <dsp:cNvPr id="0" name=""/>
        <dsp:cNvSpPr/>
      </dsp:nvSpPr>
      <dsp:spPr>
        <a:xfrm>
          <a:off x="2423159" y="544444"/>
          <a:ext cx="3634740" cy="494593"/>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E5BCB2D-8812-4509-A921-343A1778ACD0}">
      <dsp:nvSpPr>
        <dsp:cNvPr id="0" name=""/>
        <dsp:cNvSpPr/>
      </dsp:nvSpPr>
      <dsp:spPr>
        <a:xfrm>
          <a:off x="0" y="544444"/>
          <a:ext cx="2423160" cy="494593"/>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Формирование целей и критериев развития</a:t>
          </a:r>
        </a:p>
      </dsp:txBody>
      <dsp:txXfrm>
        <a:off x="24144" y="568588"/>
        <a:ext cx="2374872" cy="446305"/>
      </dsp:txXfrm>
    </dsp:sp>
    <dsp:sp modelId="{8D79A956-0896-4F5A-B4B6-76A35733658A}">
      <dsp:nvSpPr>
        <dsp:cNvPr id="0" name=""/>
        <dsp:cNvSpPr/>
      </dsp:nvSpPr>
      <dsp:spPr>
        <a:xfrm>
          <a:off x="2423159" y="1088497"/>
          <a:ext cx="3634740" cy="494593"/>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723A71A-54ED-40F3-8420-2ABF6D0A1622}">
      <dsp:nvSpPr>
        <dsp:cNvPr id="0" name=""/>
        <dsp:cNvSpPr/>
      </dsp:nvSpPr>
      <dsp:spPr>
        <a:xfrm>
          <a:off x="0" y="1088497"/>
          <a:ext cx="2423160" cy="494593"/>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Классификация проблем региона для их последующего решения</a:t>
          </a:r>
        </a:p>
      </dsp:txBody>
      <dsp:txXfrm>
        <a:off x="24144" y="1112641"/>
        <a:ext cx="2374872" cy="446305"/>
      </dsp:txXfrm>
    </dsp:sp>
    <dsp:sp modelId="{7C2C5530-5D61-4E2E-811C-DE461621FCBD}">
      <dsp:nvSpPr>
        <dsp:cNvPr id="0" name=""/>
        <dsp:cNvSpPr/>
      </dsp:nvSpPr>
      <dsp:spPr>
        <a:xfrm>
          <a:off x="2423159" y="1632549"/>
          <a:ext cx="3634740" cy="494593"/>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00AA025-4AEF-473D-975A-FE10B7719B10}">
      <dsp:nvSpPr>
        <dsp:cNvPr id="0" name=""/>
        <dsp:cNvSpPr/>
      </dsp:nvSpPr>
      <dsp:spPr>
        <a:xfrm>
          <a:off x="0" y="1632549"/>
          <a:ext cx="2423160" cy="494593"/>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Изучение внешней и внутренней среды развития региона</a:t>
          </a:r>
        </a:p>
      </dsp:txBody>
      <dsp:txXfrm>
        <a:off x="24144" y="1656693"/>
        <a:ext cx="2374872" cy="446305"/>
      </dsp:txXfrm>
    </dsp:sp>
    <dsp:sp modelId="{357DA69F-9F29-43D7-96B7-73195A3F303E}">
      <dsp:nvSpPr>
        <dsp:cNvPr id="0" name=""/>
        <dsp:cNvSpPr/>
      </dsp:nvSpPr>
      <dsp:spPr>
        <a:xfrm>
          <a:off x="2423159" y="2176602"/>
          <a:ext cx="3634740" cy="494593"/>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0C396A5-667A-47A5-9BD4-865695AAAC08}">
      <dsp:nvSpPr>
        <dsp:cNvPr id="0" name=""/>
        <dsp:cNvSpPr/>
      </dsp:nvSpPr>
      <dsp:spPr>
        <a:xfrm>
          <a:off x="0" y="2176602"/>
          <a:ext cx="2423160" cy="494593"/>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Классификация и анализ конкурентных преимуществ региона</a:t>
          </a:r>
        </a:p>
      </dsp:txBody>
      <dsp:txXfrm>
        <a:off x="24144" y="2200746"/>
        <a:ext cx="2374872" cy="446305"/>
      </dsp:txXfrm>
    </dsp:sp>
    <dsp:sp modelId="{70377B19-6C31-4431-9A0D-1A76CC7AFCCC}">
      <dsp:nvSpPr>
        <dsp:cNvPr id="0" name=""/>
        <dsp:cNvSpPr/>
      </dsp:nvSpPr>
      <dsp:spPr>
        <a:xfrm>
          <a:off x="2423159" y="2720654"/>
          <a:ext cx="3634740" cy="494593"/>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74CB45D5-C97C-47EB-832E-22C86F26ABFF}">
      <dsp:nvSpPr>
        <dsp:cNvPr id="0" name=""/>
        <dsp:cNvSpPr/>
      </dsp:nvSpPr>
      <dsp:spPr>
        <a:xfrm>
          <a:off x="0" y="2720654"/>
          <a:ext cx="2423160" cy="494593"/>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Выбор альтернативных вариантов развития</a:t>
          </a:r>
        </a:p>
      </dsp:txBody>
      <dsp:txXfrm>
        <a:off x="24144" y="2744798"/>
        <a:ext cx="2374872" cy="446305"/>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1388</Words>
  <Characters>7914</Characters>
  <Application>Microsoft Office Word</Application>
  <DocSecurity>0</DocSecurity>
  <Lines>65</Lines>
  <Paragraphs>18</Paragraphs>
  <ScaleCrop>false</ScaleCrop>
  <Company>SPecialiST RePack</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елена</dc:creator>
  <cp:keywords/>
  <dc:description/>
  <cp:lastModifiedBy>елена елена</cp:lastModifiedBy>
  <cp:revision>2</cp:revision>
  <dcterms:created xsi:type="dcterms:W3CDTF">2025-10-12T15:15:00Z</dcterms:created>
  <dcterms:modified xsi:type="dcterms:W3CDTF">2025-10-12T15:18:00Z</dcterms:modified>
</cp:coreProperties>
</file>