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270" w:before="270"/>
        <w:ind w:firstLine="0" w:left="0" w:right="0"/>
        <w:rPr>
          <w:b w:val="1"/>
          <w:sz w:val="36"/>
        </w:rPr>
      </w:pPr>
      <w:r>
        <w:rPr>
          <w:b w:val="1"/>
          <w:sz w:val="36"/>
        </w:rPr>
        <w:t>Сенсорные коробки: инструмент развития и увлекательной игры</w:t>
      </w:r>
    </w:p>
    <w:p w14:paraId="02000000">
      <w:pPr>
        <w:pStyle w:val="Style_1"/>
        <w:spacing w:after="269" w:before="269"/>
        <w:ind w:firstLine="0" w:left="0" w:right="0"/>
      </w:pPr>
      <w:r>
        <w:rPr>
          <w:b w:val="1"/>
        </w:rPr>
        <w:t>Сенсорная коробка</w:t>
      </w:r>
      <w:r>
        <w:t> — это ёмкость с разнообразным наполнителем, предназначенная для самостоятельных исследований и игр ребёнка. Это простой, но чрезвычайно эффективный инструмент раннего развития, который легко создать в домашних условиях.</w:t>
      </w:r>
    </w:p>
    <w:p w14:paraId="03000000">
      <w:pPr>
        <w:pStyle w:val="Style_1"/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Что может быть внутри</w:t>
      </w:r>
    </w:p>
    <w:p w14:paraId="04000000">
      <w:pPr>
        <w:pStyle w:val="Style_1"/>
        <w:spacing w:after="269" w:before="269"/>
        <w:ind w:firstLine="0" w:left="0" w:right="0"/>
      </w:pPr>
      <w:r>
        <w:t>Наполнители подбираются по возрасту и интересам ребёнка. Варианты:</w:t>
      </w:r>
    </w:p>
    <w:p w14:paraId="05000000">
      <w:pPr>
        <w:pStyle w:val="Style_1"/>
        <w:spacing w:after="269" w:before="269"/>
        <w:ind w:firstLine="0" w:left="600" w:right="0"/>
      </w:pPr>
    </w:p>
    <w:p w14:paraId="06000000">
      <w:pPr>
        <w:pStyle w:val="Style_1"/>
        <w:spacing w:after="269" w:before="269"/>
        <w:ind w:firstLine="0" w:left="0" w:right="0"/>
      </w:pPr>
      <w:r>
        <w:t>крупы (рис, гречка, фасоль);</w:t>
      </w:r>
    </w:p>
    <w:p w14:paraId="07000000">
      <w:pPr>
        <w:pStyle w:val="Style_1"/>
        <w:spacing w:after="269" w:before="269"/>
        <w:ind w:firstLine="0" w:left="600" w:right="0"/>
      </w:pPr>
    </w:p>
    <w:p w14:paraId="08000000">
      <w:pPr>
        <w:pStyle w:val="Style_1"/>
        <w:spacing w:after="269" w:before="269"/>
        <w:ind w:firstLine="0" w:left="0" w:right="0"/>
      </w:pPr>
      <w:r>
        <w:t>природные материалы (песок, камешки, шишки, листья);</w:t>
      </w:r>
    </w:p>
    <w:p w14:paraId="09000000">
      <w:pPr>
        <w:pStyle w:val="Style_1"/>
        <w:spacing w:after="269" w:before="269"/>
        <w:ind w:firstLine="0" w:left="600" w:right="0"/>
      </w:pPr>
    </w:p>
    <w:p w14:paraId="0A000000">
      <w:pPr>
        <w:pStyle w:val="Style_1"/>
        <w:spacing w:after="269" w:before="269"/>
        <w:ind w:firstLine="0" w:left="0" w:right="0"/>
      </w:pPr>
      <w:r>
        <w:t>вода и пена;</w:t>
      </w:r>
    </w:p>
    <w:p w14:paraId="0B000000">
      <w:pPr>
        <w:pStyle w:val="Style_1"/>
        <w:spacing w:after="269" w:before="269"/>
        <w:ind w:firstLine="0" w:left="600" w:right="0"/>
      </w:pPr>
    </w:p>
    <w:p w14:paraId="0C000000">
      <w:pPr>
        <w:pStyle w:val="Style_1"/>
        <w:spacing w:after="269" w:before="269"/>
        <w:ind w:firstLine="0" w:left="0" w:right="0"/>
      </w:pPr>
      <w:r>
        <w:t>текстильные элементы (лоскутки, шнурки);</w:t>
      </w:r>
    </w:p>
    <w:p w14:paraId="0D000000">
      <w:pPr>
        <w:pStyle w:val="Style_1"/>
        <w:spacing w:after="269" w:before="269"/>
        <w:ind w:firstLine="0" w:left="600" w:right="0"/>
      </w:pPr>
    </w:p>
    <w:p w14:paraId="0E000000">
      <w:pPr>
        <w:pStyle w:val="Style_1"/>
        <w:spacing w:after="269" w:before="269"/>
        <w:ind w:firstLine="0" w:left="0" w:right="0"/>
      </w:pPr>
      <w:r>
        <w:t>искусственные материалы (блестки, пенопластовые шарики).</w:t>
      </w:r>
    </w:p>
    <w:p w14:paraId="0F000000">
      <w:pPr>
        <w:pStyle w:val="Style_1"/>
        <w:spacing w:after="269" w:before="269"/>
        <w:ind w:firstLine="0" w:left="0" w:right="0"/>
      </w:pPr>
      <w:r>
        <w:t>Дополнительно используются игрушечные фигурки, ложки, воронки, сита — всё, что стимулирует исследование и манипуляции.</w:t>
      </w:r>
    </w:p>
    <w:p w14:paraId="10000000">
      <w:pPr>
        <w:pStyle w:val="Style_1"/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Как сенсорные коробки развивают речь</w:t>
      </w:r>
    </w:p>
    <w:p w14:paraId="11000000">
      <w:pPr>
        <w:pStyle w:val="Style_1"/>
        <w:spacing w:after="269" w:before="269"/>
        <w:ind w:firstLine="0" w:left="600" w:right="0"/>
      </w:pPr>
    </w:p>
    <w:p w14:paraId="12000000">
      <w:pPr>
        <w:pStyle w:val="Style_1"/>
        <w:spacing w:after="269" w:before="269"/>
        <w:ind w:firstLine="0" w:left="0" w:right="0"/>
      </w:pPr>
      <w:r>
        <w:rPr>
          <w:b w:val="1"/>
        </w:rPr>
        <w:t>Обогащение словарного запаса.</w:t>
      </w:r>
      <w:r>
        <w:t xml:space="preserve"> Ребёнок знакомится с новыми словами, описывающими:</w:t>
      </w:r>
    </w:p>
    <w:p w14:paraId="13000000">
      <w:pPr>
        <w:pStyle w:val="Style_1"/>
        <w:spacing w:after="269" w:before="269"/>
        <w:ind w:firstLine="0" w:left="600" w:right="0"/>
      </w:pPr>
    </w:p>
    <w:p w14:paraId="14000000">
      <w:pPr>
        <w:pStyle w:val="Style_1"/>
        <w:spacing w:after="269" w:before="269"/>
        <w:ind w:firstLine="0" w:left="0" w:right="0"/>
      </w:pPr>
      <w:r>
        <w:t>текстуры (гладкий, шершавый, холодный);</w:t>
      </w:r>
    </w:p>
    <w:p w14:paraId="15000000">
      <w:pPr>
        <w:pStyle w:val="Style_1"/>
        <w:spacing w:after="269" w:before="269"/>
        <w:ind w:firstLine="0" w:left="600" w:right="0"/>
      </w:pPr>
    </w:p>
    <w:p w14:paraId="16000000">
      <w:pPr>
        <w:pStyle w:val="Style_1"/>
        <w:spacing w:after="269" w:before="269"/>
        <w:ind w:firstLine="0" w:left="0" w:right="0"/>
      </w:pPr>
      <w:r>
        <w:t>действия (пересыпать, просеивать, закапывать);</w:t>
      </w:r>
    </w:p>
    <w:p w14:paraId="17000000">
      <w:pPr>
        <w:pStyle w:val="Style_1"/>
        <w:spacing w:after="269" w:before="269"/>
        <w:ind w:firstLine="0" w:left="600" w:right="0"/>
      </w:pPr>
    </w:p>
    <w:p w14:paraId="18000000">
      <w:pPr>
        <w:pStyle w:val="Style_1"/>
        <w:spacing w:after="269" w:before="269"/>
        <w:ind w:firstLine="0" w:left="0" w:right="0"/>
      </w:pPr>
      <w:r>
        <w:t>свойства материалов (сыпучий, липкий, прозрачный).</w:t>
      </w:r>
    </w:p>
    <w:p w14:paraId="19000000">
      <w:pPr>
        <w:pStyle w:val="Style_1"/>
        <w:spacing w:after="269" w:before="269"/>
        <w:ind w:firstLine="0" w:left="600" w:right="0"/>
      </w:pPr>
    </w:p>
    <w:p w14:paraId="1A000000">
      <w:pPr>
        <w:pStyle w:val="Style_1"/>
        <w:spacing w:after="269" w:before="269"/>
        <w:ind w:firstLine="0" w:left="0" w:right="0"/>
      </w:pPr>
      <w:r>
        <w:rPr>
          <w:b w:val="1"/>
        </w:rPr>
        <w:t>Развитие диалогической речи.</w:t>
      </w:r>
      <w:r>
        <w:t xml:space="preserve"> Взрослый задаёт вопросы:</w:t>
      </w:r>
    </w:p>
    <w:p w14:paraId="1B000000">
      <w:pPr>
        <w:pStyle w:val="Style_1"/>
        <w:spacing w:after="269" w:before="269"/>
        <w:ind w:firstLine="0" w:left="600" w:right="0"/>
      </w:pPr>
    </w:p>
    <w:p w14:paraId="1C000000">
      <w:pPr>
        <w:pStyle w:val="Style_1"/>
        <w:spacing w:after="269" w:before="269"/>
        <w:ind w:firstLine="0" w:left="0" w:right="0"/>
      </w:pPr>
      <w:r>
        <w:t>«Что ты нашёл?»</w:t>
      </w:r>
    </w:p>
    <w:p w14:paraId="1D000000">
      <w:pPr>
        <w:pStyle w:val="Style_1"/>
        <w:spacing w:after="269" w:before="269"/>
        <w:ind w:firstLine="0" w:left="600" w:right="0"/>
      </w:pPr>
    </w:p>
    <w:p w14:paraId="1E000000">
      <w:pPr>
        <w:pStyle w:val="Style_1"/>
        <w:spacing w:after="269" w:before="269"/>
        <w:ind w:firstLine="0" w:left="0" w:right="0"/>
      </w:pPr>
      <w:r>
        <w:t>«На что это похоже?»</w:t>
      </w:r>
    </w:p>
    <w:p w14:paraId="1F000000">
      <w:pPr>
        <w:pStyle w:val="Style_1"/>
        <w:spacing w:after="269" w:before="269"/>
        <w:ind w:firstLine="0" w:left="600" w:right="0"/>
      </w:pPr>
    </w:p>
    <w:p w14:paraId="20000000">
      <w:pPr>
        <w:pStyle w:val="Style_1"/>
        <w:spacing w:after="269" w:before="269"/>
        <w:ind w:firstLine="0" w:left="0" w:right="0"/>
      </w:pPr>
      <w:r>
        <w:t>«Как можно это использовать?»</w:t>
      </w:r>
    </w:p>
    <w:p w14:paraId="21000000">
      <w:pPr>
        <w:pStyle w:val="Style_1"/>
        <w:spacing w:after="269" w:before="269"/>
        <w:ind w:firstLine="0" w:left="0" w:right="0"/>
      </w:pPr>
      <w:r>
        <w:t>Ребёнок учится формулировать ответы и высказывать предположения.</w:t>
      </w:r>
    </w:p>
    <w:p w14:paraId="22000000">
      <w:pPr>
        <w:pStyle w:val="Style_1"/>
        <w:spacing w:after="269" w:before="269"/>
        <w:ind w:firstLine="0" w:left="600" w:right="0"/>
      </w:pPr>
    </w:p>
    <w:p w14:paraId="23000000">
      <w:pPr>
        <w:pStyle w:val="Style_1"/>
        <w:spacing w:after="269" w:before="269"/>
        <w:ind w:firstLine="0" w:left="0" w:right="0"/>
      </w:pPr>
      <w:r>
        <w:rPr>
          <w:b w:val="1"/>
        </w:rPr>
        <w:t>Стимулирование описательной речи.</w:t>
      </w:r>
      <w:r>
        <w:t xml:space="preserve"> Ребёнок тренируется составлять простые предложения:</w:t>
      </w:r>
    </w:p>
    <w:p w14:paraId="24000000">
      <w:pPr>
        <w:pStyle w:val="Style_1"/>
        <w:spacing w:after="269" w:before="269"/>
        <w:ind w:firstLine="0" w:left="600" w:right="0"/>
      </w:pPr>
    </w:p>
    <w:p w14:paraId="25000000">
      <w:pPr>
        <w:pStyle w:val="Style_1"/>
        <w:spacing w:after="269" w:before="269"/>
        <w:ind w:firstLine="0" w:left="0" w:right="0"/>
      </w:pPr>
      <w:r>
        <w:t>«Это большой красный шарик».</w:t>
      </w:r>
    </w:p>
    <w:p w14:paraId="26000000">
      <w:pPr>
        <w:pStyle w:val="Style_1"/>
        <w:spacing w:after="269" w:before="269"/>
        <w:ind w:firstLine="0" w:left="600" w:right="0"/>
      </w:pPr>
    </w:p>
    <w:p w14:paraId="27000000">
      <w:pPr>
        <w:pStyle w:val="Style_1"/>
        <w:spacing w:after="269" w:before="269"/>
        <w:ind w:firstLine="0" w:left="0" w:right="0"/>
      </w:pPr>
      <w:r>
        <w:t>«Я насыпаю песок в ведёрко».</w:t>
      </w:r>
    </w:p>
    <w:p w14:paraId="28000000">
      <w:pPr>
        <w:pStyle w:val="Style_1"/>
        <w:spacing w:after="269" w:before="269"/>
        <w:ind w:firstLine="0" w:left="600" w:right="0"/>
      </w:pPr>
    </w:p>
    <w:p w14:paraId="29000000">
      <w:pPr>
        <w:pStyle w:val="Style_1"/>
        <w:spacing w:after="269" w:before="269"/>
        <w:ind w:firstLine="0" w:left="0" w:right="0"/>
      </w:pPr>
      <w:r>
        <w:t>«Здесь холодно и мокро».</w:t>
      </w:r>
    </w:p>
    <w:p w14:paraId="2A000000">
      <w:pPr>
        <w:pStyle w:val="Style_1"/>
        <w:spacing w:after="269" w:before="269"/>
        <w:ind w:firstLine="0" w:left="600" w:right="0"/>
      </w:pPr>
    </w:p>
    <w:p w14:paraId="2B000000">
      <w:pPr>
        <w:pStyle w:val="Style_1"/>
        <w:spacing w:after="269" w:before="269"/>
        <w:ind w:firstLine="0" w:left="0" w:right="0"/>
      </w:pPr>
      <w:r>
        <w:rPr>
          <w:b w:val="1"/>
        </w:rPr>
        <w:t>Развитие фонематического слуха.</w:t>
      </w:r>
      <w:r>
        <w:t xml:space="preserve"> Шумы наполнителей (шуршание, звон, плеск) помогают различать звуки, что важно для овладения речью.</w:t>
      </w:r>
    </w:p>
    <w:p w14:paraId="2C000000">
      <w:pPr>
        <w:pStyle w:val="Style_1"/>
        <w:spacing w:after="269" w:before="269"/>
        <w:ind w:firstLine="0" w:left="600" w:right="0"/>
      </w:pPr>
    </w:p>
    <w:p w14:paraId="2D000000">
      <w:pPr>
        <w:pStyle w:val="Style_1"/>
        <w:spacing w:after="269" w:before="269"/>
        <w:ind w:firstLine="0" w:left="0" w:right="0"/>
      </w:pPr>
      <w:r>
        <w:rPr>
          <w:b w:val="1"/>
        </w:rPr>
        <w:t>Формирование грамматической структуры.</w:t>
      </w:r>
      <w:r>
        <w:t xml:space="preserve"> Практика употребления:</w:t>
      </w:r>
    </w:p>
    <w:p w14:paraId="2E000000">
      <w:pPr>
        <w:pStyle w:val="Style_1"/>
        <w:spacing w:after="269" w:before="269"/>
        <w:ind w:firstLine="0" w:left="600" w:right="0"/>
      </w:pPr>
    </w:p>
    <w:p w14:paraId="2F000000">
      <w:pPr>
        <w:pStyle w:val="Style_1"/>
        <w:spacing w:after="269" w:before="269"/>
        <w:ind w:firstLine="0" w:left="0" w:right="0"/>
      </w:pPr>
      <w:r>
        <w:t xml:space="preserve">падежей («Я беру </w:t>
      </w:r>
      <w:r>
        <w:rPr>
          <w:i w:val="1"/>
        </w:rPr>
        <w:t>лопатку</w:t>
      </w:r>
      <w:r>
        <w:t xml:space="preserve">», «Я играю </w:t>
      </w:r>
      <w:r>
        <w:rPr>
          <w:i w:val="1"/>
        </w:rPr>
        <w:t>с камушками</w:t>
      </w:r>
      <w:r>
        <w:t>»);</w:t>
      </w:r>
    </w:p>
    <w:p w14:paraId="30000000">
      <w:pPr>
        <w:pStyle w:val="Style_1"/>
        <w:spacing w:after="269" w:before="269"/>
        <w:ind w:firstLine="0" w:left="600" w:right="0"/>
      </w:pPr>
    </w:p>
    <w:p w14:paraId="31000000">
      <w:pPr>
        <w:pStyle w:val="Style_1"/>
        <w:spacing w:after="269" w:before="269"/>
        <w:ind w:firstLine="0" w:left="0" w:right="0"/>
      </w:pPr>
      <w:r>
        <w:t>предлогов («</w:t>
      </w:r>
      <w:r>
        <w:rPr>
          <w:i w:val="1"/>
        </w:rPr>
        <w:t>В</w:t>
      </w:r>
      <w:r>
        <w:t xml:space="preserve"> коробке», «</w:t>
      </w:r>
      <w:r>
        <w:rPr>
          <w:i w:val="1"/>
        </w:rPr>
        <w:t>Под</w:t>
      </w:r>
      <w:r>
        <w:t xml:space="preserve"> песком»);</w:t>
      </w:r>
    </w:p>
    <w:p w14:paraId="32000000">
      <w:pPr>
        <w:pStyle w:val="Style_1"/>
        <w:spacing w:after="269" w:before="269"/>
        <w:ind w:firstLine="0" w:left="600" w:right="0"/>
      </w:pPr>
    </w:p>
    <w:p w14:paraId="33000000">
      <w:pPr>
        <w:pStyle w:val="Style_1"/>
        <w:spacing w:after="269" w:before="269"/>
        <w:ind w:firstLine="0" w:left="0" w:right="0"/>
      </w:pPr>
      <w:r>
        <w:t xml:space="preserve">времён («Я </w:t>
      </w:r>
      <w:r>
        <w:rPr>
          <w:i w:val="1"/>
        </w:rPr>
        <w:t>сыплю</w:t>
      </w:r>
      <w:r>
        <w:t xml:space="preserve">», «Я </w:t>
      </w:r>
      <w:r>
        <w:rPr>
          <w:i w:val="1"/>
        </w:rPr>
        <w:t>сыпал</w:t>
      </w:r>
      <w:r>
        <w:t>»).</w:t>
      </w:r>
    </w:p>
    <w:p w14:paraId="34000000">
      <w:pPr>
        <w:pStyle w:val="Style_1"/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Почему это увлекательно</w:t>
      </w:r>
    </w:p>
    <w:p w14:paraId="35000000">
      <w:pPr>
        <w:pStyle w:val="Style_1"/>
        <w:spacing w:after="269" w:before="269"/>
        <w:ind w:firstLine="0" w:left="0" w:right="0"/>
      </w:pPr>
      <w:r>
        <w:t>Сенсорные коробки захватывают по нескольким причинам:</w:t>
      </w:r>
    </w:p>
    <w:p w14:paraId="36000000">
      <w:pPr>
        <w:pStyle w:val="Style_1"/>
        <w:spacing w:after="269" w:before="269"/>
        <w:ind w:firstLine="0" w:left="600" w:right="0"/>
      </w:pPr>
    </w:p>
    <w:p w14:paraId="37000000">
      <w:pPr>
        <w:pStyle w:val="Style_1"/>
        <w:spacing w:after="269" w:before="269"/>
        <w:ind w:firstLine="0" w:left="0" w:right="0"/>
      </w:pPr>
      <w:r>
        <w:rPr>
          <w:b w:val="1"/>
        </w:rPr>
        <w:t>Многообразие ощущений.</w:t>
      </w:r>
      <w:r>
        <w:t xml:space="preserve"> Ребёнок одновременно задействует зрение, осязание, слух, а иногда и обоняние.</w:t>
      </w:r>
    </w:p>
    <w:p w14:paraId="38000000">
      <w:pPr>
        <w:pStyle w:val="Style_1"/>
        <w:spacing w:after="269" w:before="269"/>
        <w:ind w:firstLine="0" w:left="600" w:right="0"/>
      </w:pPr>
    </w:p>
    <w:p w14:paraId="39000000">
      <w:pPr>
        <w:pStyle w:val="Style_1"/>
        <w:spacing w:after="269" w:before="269"/>
        <w:ind w:firstLine="0" w:left="0" w:right="0"/>
      </w:pPr>
      <w:r>
        <w:rPr>
          <w:b w:val="1"/>
        </w:rPr>
        <w:t>Свобода исследования.</w:t>
      </w:r>
      <w:r>
        <w:t xml:space="preserve"> Нет строгих правил — можно копать, пересыпать, прятать, находить.</w:t>
      </w:r>
    </w:p>
    <w:p w14:paraId="3A000000">
      <w:pPr>
        <w:pStyle w:val="Style_1"/>
        <w:spacing w:after="269" w:before="269"/>
        <w:ind w:firstLine="0" w:left="600" w:right="0"/>
      </w:pPr>
    </w:p>
    <w:p w14:paraId="3B000000">
      <w:pPr>
        <w:pStyle w:val="Style_1"/>
        <w:spacing w:after="269" w:before="269"/>
        <w:ind w:firstLine="0" w:left="0" w:right="0"/>
      </w:pPr>
      <w:r>
        <w:rPr>
          <w:b w:val="1"/>
        </w:rPr>
        <w:t>Эффект сюрприза.</w:t>
      </w:r>
      <w:r>
        <w:t xml:space="preserve"> Внутри могут быть «сокровища» — игрушки, фигурки, буквы.</w:t>
      </w:r>
    </w:p>
    <w:p w14:paraId="3C000000">
      <w:pPr>
        <w:pStyle w:val="Style_1"/>
        <w:spacing w:after="269" w:before="269"/>
        <w:ind w:firstLine="0" w:left="600" w:right="0"/>
      </w:pPr>
    </w:p>
    <w:p w14:paraId="3D000000">
      <w:pPr>
        <w:pStyle w:val="Style_1"/>
        <w:spacing w:after="269" w:before="269"/>
        <w:ind w:firstLine="0" w:left="0" w:right="0"/>
      </w:pPr>
      <w:r>
        <w:rPr>
          <w:b w:val="1"/>
        </w:rPr>
        <w:t>Возможность имитации.</w:t>
      </w:r>
      <w:r>
        <w:t xml:space="preserve"> Ребёнок повторяет действия взрослых (готовка, уборка, строительство).</w:t>
      </w:r>
    </w:p>
    <w:p w14:paraId="3E000000">
      <w:pPr>
        <w:pStyle w:val="Style_1"/>
        <w:spacing w:after="269" w:before="269"/>
        <w:ind w:firstLine="0" w:left="600" w:right="0"/>
      </w:pPr>
    </w:p>
    <w:p w14:paraId="3F000000">
      <w:pPr>
        <w:pStyle w:val="Style_1"/>
        <w:spacing w:after="269" w:before="269"/>
        <w:ind w:firstLine="0" w:left="0" w:right="0"/>
      </w:pPr>
      <w:r>
        <w:rPr>
          <w:b w:val="1"/>
        </w:rPr>
        <w:t>Релаксация.</w:t>
      </w:r>
      <w:r>
        <w:t xml:space="preserve"> Монотонные действия (пересыпание, перебирание) успокаивают.</w:t>
      </w:r>
    </w:p>
    <w:p w14:paraId="40000000">
      <w:pPr>
        <w:pStyle w:val="Style_1"/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Советы по организации</w:t>
      </w:r>
    </w:p>
    <w:p w14:paraId="41000000">
      <w:pPr>
        <w:pStyle w:val="Style_1"/>
        <w:spacing w:after="269" w:before="269"/>
        <w:ind w:firstLine="0" w:left="600" w:right="0"/>
      </w:pPr>
    </w:p>
    <w:p w14:paraId="42000000">
      <w:pPr>
        <w:pStyle w:val="Style_1"/>
        <w:spacing w:after="269" w:before="269"/>
        <w:ind w:firstLine="0" w:left="0" w:right="0"/>
      </w:pPr>
      <w:r>
        <w:t>Выбирайте коробку по возрасту: для малышей — неглубокую и крупную, для старших — с мелкими деталями.</w:t>
      </w:r>
    </w:p>
    <w:p w14:paraId="43000000">
      <w:pPr>
        <w:pStyle w:val="Style_1"/>
        <w:spacing w:after="269" w:before="269"/>
        <w:ind w:firstLine="0" w:left="600" w:right="0"/>
      </w:pPr>
    </w:p>
    <w:p w14:paraId="44000000">
      <w:pPr>
        <w:pStyle w:val="Style_1"/>
        <w:spacing w:after="269" w:before="269"/>
        <w:ind w:firstLine="0" w:left="0" w:right="0"/>
      </w:pPr>
      <w:r>
        <w:t>Следите за безопасностью: никаких острых предметов и аллергенов.</w:t>
      </w:r>
    </w:p>
    <w:p w14:paraId="45000000">
      <w:pPr>
        <w:pStyle w:val="Style_1"/>
        <w:spacing w:after="269" w:before="269"/>
        <w:ind w:firstLine="0" w:left="600" w:right="0"/>
      </w:pPr>
    </w:p>
    <w:p w14:paraId="46000000">
      <w:pPr>
        <w:pStyle w:val="Style_1"/>
        <w:spacing w:after="269" w:before="269"/>
        <w:ind w:firstLine="0" w:left="0" w:right="0"/>
      </w:pPr>
      <w:r>
        <w:t>Меняйте наполнение раз в 1–2 недели, чтобы сохранять интерес.</w:t>
      </w:r>
    </w:p>
    <w:p w14:paraId="47000000">
      <w:pPr>
        <w:pStyle w:val="Style_1"/>
        <w:spacing w:after="269" w:before="269"/>
        <w:ind w:firstLine="0" w:left="600" w:right="0"/>
      </w:pPr>
    </w:p>
    <w:p w14:paraId="48000000">
      <w:pPr>
        <w:pStyle w:val="Style_1"/>
        <w:spacing w:after="269" w:before="269"/>
        <w:ind w:firstLine="0" w:left="0" w:right="0"/>
      </w:pPr>
      <w:r>
        <w:t>Участвуйте в игре: комментируйте, задавайте вопросы, предлагайте сценарии.</w:t>
      </w:r>
    </w:p>
    <w:p w14:paraId="49000000">
      <w:pPr>
        <w:pStyle w:val="Style_1"/>
        <w:spacing w:after="269" w:before="269"/>
        <w:ind w:firstLine="0" w:left="600" w:right="0"/>
      </w:pPr>
    </w:p>
    <w:p w14:paraId="4A000000">
      <w:pPr>
        <w:pStyle w:val="Style_1"/>
        <w:spacing w:after="269" w:before="269"/>
        <w:ind w:firstLine="0" w:left="0" w:right="0"/>
      </w:pPr>
      <w:r>
        <w:t>Начинайте с простых материалов (крупы, вода), постепенно усложняя.</w:t>
      </w:r>
    </w:p>
    <w:p w14:paraId="4B000000">
      <w:pPr>
        <w:pStyle w:val="Style_1"/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Примеры тематических коробок</w:t>
      </w:r>
    </w:p>
    <w:p w14:paraId="4C000000">
      <w:pPr>
        <w:pStyle w:val="Style_1"/>
        <w:spacing w:after="269" w:before="269"/>
        <w:ind w:firstLine="0" w:left="600" w:right="0"/>
      </w:pPr>
    </w:p>
    <w:p w14:paraId="4D000000">
      <w:pPr>
        <w:pStyle w:val="Style_1"/>
        <w:spacing w:after="269" w:before="269"/>
        <w:ind w:firstLine="0" w:left="0" w:right="0"/>
      </w:pPr>
      <w:r>
        <w:rPr>
          <w:b w:val="1"/>
        </w:rPr>
        <w:t>«Океан»</w:t>
      </w:r>
      <w:r>
        <w:t>: голубая вода, ракушки, рыбки, водоросли из ткани.</w:t>
      </w:r>
    </w:p>
    <w:p w14:paraId="4E000000">
      <w:pPr>
        <w:pStyle w:val="Style_1"/>
        <w:spacing w:after="269" w:before="269"/>
        <w:ind w:firstLine="0" w:left="600" w:right="0"/>
      </w:pPr>
    </w:p>
    <w:p w14:paraId="4F000000">
      <w:pPr>
        <w:pStyle w:val="Style_1"/>
        <w:spacing w:after="269" w:before="269"/>
        <w:ind w:firstLine="0" w:left="0" w:right="0"/>
      </w:pPr>
      <w:r>
        <w:rPr>
          <w:b w:val="1"/>
        </w:rPr>
        <w:t>«Стройка»</w:t>
      </w:r>
      <w:r>
        <w:t>: песок, камешки, миниатюрные машинки, формочки.</w:t>
      </w:r>
    </w:p>
    <w:p w14:paraId="50000000">
      <w:pPr>
        <w:pStyle w:val="Style_1"/>
        <w:spacing w:after="269" w:before="269"/>
        <w:ind w:firstLine="0" w:left="600" w:right="0"/>
      </w:pPr>
    </w:p>
    <w:p w14:paraId="51000000">
      <w:pPr>
        <w:pStyle w:val="Style_1"/>
        <w:spacing w:after="269" w:before="269"/>
        <w:ind w:firstLine="0" w:left="0" w:right="0"/>
      </w:pPr>
      <w:r>
        <w:rPr>
          <w:b w:val="1"/>
        </w:rPr>
        <w:t>«Осенний лес»</w:t>
      </w:r>
      <w:r>
        <w:t>: листья, шишки, жёлуди, фигурки зверей.</w:t>
      </w:r>
    </w:p>
    <w:p w14:paraId="52000000">
      <w:pPr>
        <w:pStyle w:val="Style_1"/>
        <w:spacing w:after="269" w:before="269"/>
        <w:ind w:firstLine="0" w:left="600" w:right="0"/>
      </w:pPr>
    </w:p>
    <w:p w14:paraId="53000000">
      <w:pPr>
        <w:pStyle w:val="Style_1"/>
        <w:spacing w:after="269" w:before="269"/>
        <w:ind w:firstLine="0" w:left="0" w:right="0"/>
      </w:pPr>
      <w:r>
        <w:rPr>
          <w:b w:val="1"/>
        </w:rPr>
        <w:t>«Кулинария»</w:t>
      </w:r>
      <w:r>
        <w:t>: фасоль, ложки, кастрюльки, игрушечные продукты.</w:t>
      </w:r>
    </w:p>
    <w:p w14:paraId="54000000">
      <w:pPr>
        <w:pStyle w:val="Style_1"/>
        <w:spacing w:after="269" w:before="269"/>
        <w:ind w:firstLine="0" w:left="0" w:right="0"/>
      </w:pPr>
      <w:r>
        <w:t xml:space="preserve">Сенсорные коробки — это не просто развлечение, а </w:t>
      </w:r>
      <w:r>
        <w:rPr>
          <w:b w:val="1"/>
        </w:rPr>
        <w:t>мощная развивающая среда</w:t>
      </w:r>
      <w:r>
        <w:t>, где игра естественным образом стимулирует речевую активность, мелкую моторику и познавательный интерес. Их простота и вариативность делают их незаменимым инструментом как в детском саду, так и дома.</w:t>
      </w:r>
    </w:p>
    <w:p w14:paraId="55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2026-02-01T08:52:50Z</dcterms:modified>
</cp:coreProperties>
</file>