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Pr="009C666D" w:rsidRDefault="009C666D" w:rsidP="006C61DF">
      <w:pPr>
        <w:pStyle w:val="a3"/>
        <w:shd w:val="clear" w:color="auto" w:fill="FFFFFF"/>
        <w:spacing w:before="0" w:beforeAutospacing="0"/>
        <w:rPr>
          <w:color w:val="2C2D2E"/>
          <w:sz w:val="40"/>
          <w:szCs w:val="40"/>
        </w:rPr>
      </w:pPr>
      <w:r w:rsidRPr="009C666D">
        <w:rPr>
          <w:color w:val="2C2D2E"/>
          <w:sz w:val="40"/>
          <w:szCs w:val="40"/>
        </w:rPr>
        <w:t>Статья на тему</w:t>
      </w: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  <w:r>
        <w:rPr>
          <w:b/>
          <w:color w:val="2C2D2E"/>
          <w:sz w:val="40"/>
          <w:szCs w:val="40"/>
        </w:rPr>
        <w:t>«</w:t>
      </w:r>
      <w:r w:rsidRPr="009C4730">
        <w:rPr>
          <w:b/>
          <w:color w:val="2C2D2E"/>
          <w:sz w:val="40"/>
          <w:szCs w:val="40"/>
        </w:rPr>
        <w:t>Как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сделать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обучение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и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развитие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особенного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ребёнка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оптимальным</w:t>
      </w:r>
      <w:r>
        <w:rPr>
          <w:b/>
          <w:color w:val="2C2D2E"/>
          <w:sz w:val="40"/>
          <w:szCs w:val="40"/>
        </w:rPr>
        <w:t>»</w:t>
      </w: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color w:val="2C2D2E"/>
          <w:sz w:val="36"/>
          <w:szCs w:val="36"/>
        </w:rPr>
      </w:pPr>
      <w:r>
        <w:rPr>
          <w:color w:val="2C2D2E"/>
          <w:sz w:val="36"/>
          <w:szCs w:val="36"/>
        </w:rPr>
        <w:t>Автор: учитель-дефектолог Нурмухаметова Елена Фёдоровна.</w:t>
      </w: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color w:val="2C2D2E"/>
          <w:sz w:val="36"/>
          <w:szCs w:val="36"/>
        </w:rPr>
      </w:pPr>
      <w:r>
        <w:rPr>
          <w:color w:val="2C2D2E"/>
          <w:sz w:val="36"/>
          <w:szCs w:val="36"/>
        </w:rPr>
        <w:t>Г. Казань «Государственное бюджетное общеобразовательное учреждение «Казанская школа №142 для детей с ограниченными возможностями здоровья»</w:t>
      </w: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color w:val="2C2D2E"/>
          <w:sz w:val="36"/>
          <w:szCs w:val="36"/>
        </w:rPr>
      </w:pP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color w:val="2C2D2E"/>
          <w:sz w:val="36"/>
          <w:szCs w:val="36"/>
        </w:rPr>
      </w:pPr>
    </w:p>
    <w:p w:rsidR="009C666D" w:rsidRDefault="009C666D" w:rsidP="009C666D">
      <w:pPr>
        <w:pStyle w:val="a3"/>
        <w:shd w:val="clear" w:color="auto" w:fill="FFFFFF"/>
        <w:spacing w:before="0" w:beforeAutospacing="0"/>
        <w:rPr>
          <w:color w:val="2C2D2E"/>
          <w:sz w:val="36"/>
          <w:szCs w:val="36"/>
        </w:rPr>
      </w:pPr>
    </w:p>
    <w:p w:rsidR="009C666D" w:rsidRPr="009C666D" w:rsidRDefault="009C666D" w:rsidP="009C666D">
      <w:pPr>
        <w:pStyle w:val="a3"/>
        <w:shd w:val="clear" w:color="auto" w:fill="FFFFFF"/>
        <w:spacing w:before="0" w:beforeAutospacing="0"/>
        <w:rPr>
          <w:rFonts w:ascii="Goudy Stout" w:hAnsi="Goudy Stout" w:cs="Arial"/>
          <w:color w:val="2C2D2E"/>
          <w:sz w:val="36"/>
          <w:szCs w:val="36"/>
        </w:rPr>
      </w:pPr>
      <w:r>
        <w:rPr>
          <w:color w:val="2C2D2E"/>
          <w:sz w:val="36"/>
          <w:szCs w:val="36"/>
        </w:rPr>
        <w:tab/>
      </w:r>
      <w:r>
        <w:rPr>
          <w:color w:val="2C2D2E"/>
          <w:sz w:val="36"/>
          <w:szCs w:val="36"/>
        </w:rPr>
        <w:tab/>
      </w:r>
      <w:r>
        <w:rPr>
          <w:color w:val="2C2D2E"/>
          <w:sz w:val="36"/>
          <w:szCs w:val="36"/>
        </w:rPr>
        <w:tab/>
      </w:r>
      <w:r>
        <w:rPr>
          <w:color w:val="2C2D2E"/>
          <w:sz w:val="36"/>
          <w:szCs w:val="36"/>
        </w:rPr>
        <w:tab/>
        <w:t>Февраль 2026 г.</w:t>
      </w: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9C666D" w:rsidRDefault="009C666D" w:rsidP="006C61DF">
      <w:pPr>
        <w:pStyle w:val="a3"/>
        <w:shd w:val="clear" w:color="auto" w:fill="FFFFFF"/>
        <w:spacing w:before="0" w:beforeAutospacing="0"/>
        <w:rPr>
          <w:b/>
          <w:color w:val="2C2D2E"/>
          <w:sz w:val="40"/>
          <w:szCs w:val="40"/>
        </w:rPr>
      </w:pPr>
    </w:p>
    <w:p w:rsidR="006C61DF" w:rsidRPr="009C4730" w:rsidRDefault="006C61DF" w:rsidP="006C61DF">
      <w:pPr>
        <w:pStyle w:val="a3"/>
        <w:shd w:val="clear" w:color="auto" w:fill="FFFFFF"/>
        <w:spacing w:before="0" w:beforeAutospacing="0"/>
        <w:rPr>
          <w:rFonts w:ascii="Goudy Stout" w:hAnsi="Goudy Stout" w:cs="Arial"/>
          <w:b/>
          <w:color w:val="2C2D2E"/>
          <w:sz w:val="40"/>
          <w:szCs w:val="40"/>
        </w:rPr>
      </w:pPr>
      <w:r w:rsidRPr="009C4730">
        <w:rPr>
          <w:b/>
          <w:color w:val="2C2D2E"/>
          <w:sz w:val="40"/>
          <w:szCs w:val="40"/>
        </w:rPr>
        <w:t>Как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сделать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обучение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и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развитие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особенного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ребёнка</w:t>
      </w:r>
      <w:r w:rsidRPr="009C4730">
        <w:rPr>
          <w:rFonts w:ascii="Goudy Stout" w:hAnsi="Goudy Stout" w:cs="Arial"/>
          <w:b/>
          <w:color w:val="2C2D2E"/>
          <w:sz w:val="40"/>
          <w:szCs w:val="40"/>
        </w:rPr>
        <w:t xml:space="preserve"> </w:t>
      </w:r>
      <w:r w:rsidRPr="009C4730">
        <w:rPr>
          <w:b/>
          <w:color w:val="2C2D2E"/>
          <w:sz w:val="40"/>
          <w:szCs w:val="40"/>
        </w:rPr>
        <w:t>оптимальным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Оптимизация обучения и развития детей с особыми образовательными потребностями (ООП) представляет собой многоаспектную задачу, требующую комплексного подхода, основанного на научных данных и учитывающего индивидуальные характеристики каждого ребёнка. Эффективное решение данной задачи предполагает интеграцию педагогических, психологических и медицинских знаний, а также активное участие родителей и других заинтересованных сторон.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I. Диагностика и оценка: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Первым и важнейшим этапом является проведение всесторонней диагностики и оценки развития ребёнка. Данная процедура должна включать в себя: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Медицинское обследование: Исключение или подтверждение медицинских состояний, которые могут влиять на обучение и развитие (например, генетические синдромы, неврологические нарушения).</w:t>
      </w:r>
    </w:p>
    <w:p w:rsidR="004D57F4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Психологическое обследование: Оценка когнитивных способностей (IQ), эмоционального и социального развития, а также выявление специфических трудностей в обучении (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дислексия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дискалькулия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дисграфия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). 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Использу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ются стандартизированные тесты - 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Для оценки интеллекта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4D57F4">
        <w:rPr>
          <w:rFonts w:ascii="Arial" w:hAnsi="Arial" w:cs="Arial"/>
          <w:color w:val="2C2D2E"/>
          <w:sz w:val="23"/>
          <w:szCs w:val="23"/>
        </w:rPr>
        <w:t>Тест Векслера (WISC): В России официально применяются адаптированные версии этого теста. Чаще всего это детский вариант теста Векслера (адаптация А.Ю. Панасюка) для детей от 5 до 16 лет.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Матрицы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Равена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(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Raven’s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Progressive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Matrices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>): </w:t>
      </w:r>
      <w:r w:rsidR="004D57F4">
        <w:rPr>
          <w:rFonts w:ascii="Arial" w:hAnsi="Arial" w:cs="Arial"/>
          <w:color w:val="2C2D2E"/>
          <w:sz w:val="23"/>
          <w:szCs w:val="23"/>
        </w:rPr>
        <w:t>используется для оценки логического мышления.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Для о</w:t>
      </w:r>
      <w:r>
        <w:rPr>
          <w:rFonts w:ascii="Arial" w:hAnsi="Arial" w:cs="Arial"/>
          <w:color w:val="2C2D2E"/>
          <w:sz w:val="23"/>
          <w:szCs w:val="23"/>
        </w:rPr>
        <w:t>ценк</w:t>
      </w:r>
      <w:r>
        <w:rPr>
          <w:rFonts w:ascii="Arial" w:hAnsi="Arial" w:cs="Arial"/>
          <w:color w:val="2C2D2E"/>
          <w:sz w:val="23"/>
          <w:szCs w:val="23"/>
        </w:rPr>
        <w:t>и адаптивного поведения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Шкала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Вайнленд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(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Vineland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Adaptive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Behavior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Scales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): Прямого российского «аналога» с такой же доказательной базой нет, поэтому специалисты используют русскоязычную адаптацию шкалы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Вайнленд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> (обычно VABS-I или VABS-II). Она включена в клинические рекомендации РФ для диагностики РАС и других нарушений развития.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4D57F4">
        <w:rPr>
          <w:rFonts w:ascii="Arial" w:hAnsi="Arial" w:cs="Arial"/>
          <w:color w:val="2C2D2E"/>
          <w:sz w:val="23"/>
          <w:szCs w:val="23"/>
        </w:rPr>
        <w:t>ABLLS-R и VB-MAPP: Используются для более детальной оценки навыков у детей с особенностями развития в рамках прикладного анализа поведения (ABA), хотя они больше ориентированы на постановку учебных целей, чем на диагностику IQ. </w:t>
      </w: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Педагогическая оценка: Определение уровня академических навыков (чтение, письмо, математика) и выявление пробелов в знаниях. Используются методы наблюдения, анализа учебных работ и стандартизированные тесты успеваемости.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Результаты диагностики служат основой для разработки индивидуального образовательного плана (ИОП), который является ключевым инструментом для организации обучения и развития ребёнка с ООП.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II. Разработка индивидуального образовательного плана (ИОП):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ИОП – это документ, определяющий цели, задачи, методы и формы обучения, а также необходимые ресурсы и поддержку для конкретного ребёнка. Разработка ИОП должна осуществляться командой специалистов, включающей педагогов, психологов, медицинских работников и родителей. ИОП должен содержать: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Описание сильных сторон и потребностей ребёнка: Необходимо учитывать не только трудности, но и способности и интересы ребёнка.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Конкретные и измеримые цели обучения: Цели должны быть реалистичными и достижимыми в течение определенного периода времени (например, один учебный год). Например, "увеличение скорости чтения на 10 слов в минуту" или "умение самостоятельно решать простые арифметические задачи".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Адаптированные методы и материалы обучения: Необходимо использовать методы и материалы, которые соответствуют особенностям восприятия и обучения ребёнка. Например, для детей с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дислексией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могут использоваться методы мультисенсорного обучения (обучение с использованием нескольких чувств – зрение, слух, осязание).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Формы поддержки и сопровождения: Необходимо определить, какая поддержка необходима ребёнку для успешного обучения (например, ассистент педагога, специальное оборудование, консультации психолога).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Критерии оценки прогресса: Необходимо определить, как будет оцениваться прогресс ребёнка в достижении поставленных целей.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При разработке ИОП следует руководствоваться принципами индивидуализации, дифференциации и инклюзии (UNESCO, 1994). Индивидуализация предполагает адаптацию образовательной программы к индивидуальным потребностям ребёнка, дифференциация – использование различных методов и подходов в обучении, а инклюзия – создание образовательной среды, в которой все дети, независимо от своих особенностей, имеют равные возможности для обучения и развития.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III. Реализация ИОП и мониторинг прогресса: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Реализация ИОП требует согласованных действий всех участников образовательного процесса. Педагоги должны использовать адаптированные методы и материалы обучения, предоставлять ребёнку необходимую поддержку и создавать </w:t>
      </w:r>
      <w:r>
        <w:rPr>
          <w:rFonts w:ascii="Arial" w:hAnsi="Arial" w:cs="Arial"/>
          <w:color w:val="2C2D2E"/>
          <w:sz w:val="23"/>
          <w:szCs w:val="23"/>
        </w:rPr>
        <w:lastRenderedPageBreak/>
        <w:t>благоприятную образовательную среду. Родители должны активно участвовать в обучении ребёнка, поддерживать его мотивацию и сотрудничать с педагогами.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Важным аспектом реализации ИОП является мониторинг прогресса ребёнка. Необходимо регулярно оценивать достижения ребёнка в соответствии с критериями, установленными в ИОП. Результаты мониторинга должны использоваться для корректировки ИОП и внесения необходимых изменений в образовательную программу.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IV. Использование научно обоснованных методов и технологий: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обучении и развитии детей с ООП необходимо использовать научно обоснованные методы и технологии. К таким методам относятся:</w:t>
      </w:r>
    </w:p>
    <w:p w:rsidR="006C61DF" w:rsidRDefault="00CF721C" w:rsidP="00CF721C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6C61DF">
        <w:rPr>
          <w:rFonts w:ascii="Arial" w:hAnsi="Arial" w:cs="Arial"/>
          <w:color w:val="2C2D2E"/>
          <w:sz w:val="23"/>
          <w:szCs w:val="23"/>
        </w:rPr>
        <w:t>Прикладной анализ поведения (ABA): Метод, основанный на принципах научения, который используется для обучения новым навыкам и коррекции нежелательного поведения (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Cooper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et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al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>., 2007). ABA широко используется в работе с детьми с аутизмом.</w:t>
      </w:r>
    </w:p>
    <w:p w:rsidR="006C61DF" w:rsidRDefault="00CF721C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6C61DF">
        <w:rPr>
          <w:rFonts w:ascii="Arial" w:hAnsi="Arial" w:cs="Arial"/>
          <w:color w:val="2C2D2E"/>
          <w:sz w:val="23"/>
          <w:szCs w:val="23"/>
        </w:rPr>
        <w:t>Метод TEACCH (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Treatment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and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Education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of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Autistic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and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related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Communication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handicapped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Children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>): Структурированный подход к обучению детей с аутизмом, который предполагает создание предсказуемой и организованной образовательной среды (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Schopler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et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al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>., 1995).</w:t>
      </w:r>
    </w:p>
    <w:p w:rsidR="006C61DF" w:rsidRDefault="00CF721C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- </w:t>
      </w:r>
      <w:r w:rsidR="006C61DF">
        <w:rPr>
          <w:rFonts w:ascii="Arial" w:hAnsi="Arial" w:cs="Arial"/>
          <w:color w:val="2C2D2E"/>
          <w:sz w:val="23"/>
          <w:szCs w:val="23"/>
        </w:rPr>
        <w:t>Метод PECS (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Picture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Exchange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Communication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System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>): Система коммуникации с использованием карточек с изображениями, которая используется для обучения детей с нарушениями речи (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Bondy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 xml:space="preserve"> &amp; </w:t>
      </w:r>
      <w:proofErr w:type="spellStart"/>
      <w:r w:rsidR="006C61DF">
        <w:rPr>
          <w:rFonts w:ascii="Arial" w:hAnsi="Arial" w:cs="Arial"/>
          <w:color w:val="2C2D2E"/>
          <w:sz w:val="23"/>
          <w:szCs w:val="23"/>
        </w:rPr>
        <w:t>Frost</w:t>
      </w:r>
      <w:proofErr w:type="spellEnd"/>
      <w:r w:rsidR="006C61DF">
        <w:rPr>
          <w:rFonts w:ascii="Arial" w:hAnsi="Arial" w:cs="Arial"/>
          <w:color w:val="2C2D2E"/>
          <w:sz w:val="23"/>
          <w:szCs w:val="23"/>
        </w:rPr>
        <w:t>, 1994).</w:t>
      </w:r>
    </w:p>
    <w:p w:rsidR="004D57F4" w:rsidRDefault="004D57F4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И кстати, п</w:t>
      </w:r>
      <w:r>
        <w:rPr>
          <w:rFonts w:ascii="Arial" w:hAnsi="Arial" w:cs="Arial"/>
          <w:color w:val="2C2D2E"/>
          <w:sz w:val="23"/>
          <w:szCs w:val="23"/>
        </w:rPr>
        <w:t>рямых «копий» этих систем в России не создавалось, так как оригинальные методы (ABA, TEACCH, PECS) официально признаны мировым стандартом и успешно применяются в РФ в адаптированном виде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. Однако в отечественной дефектологии существуют самобытные подходы, решающие схожие задачи: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1. Аналог ABA: Эмоционально-смысловой подход (Никольская,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Баенская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Либлинг</w:t>
      </w:r>
      <w:proofErr w:type="spellEnd"/>
      <w:r>
        <w:rPr>
          <w:rFonts w:ascii="Arial" w:hAnsi="Arial" w:cs="Arial"/>
          <w:color w:val="2C2D2E"/>
          <w:sz w:val="23"/>
          <w:szCs w:val="23"/>
        </w:rPr>
        <w:t>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отличие от поведенческого анализа (ABA), который фокусируется на внешних реакциях и поощрениях, российский метод работает с внутренним миром ребенка и его аффективной сферой.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Сходство: Оба метода направлены на социализацию и коррекцию поведения.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Отличие: ABA использует систему подкреплений (наград), а российский подход — создание эмоционально значимых смыслов и установление глубокого контакта для вовлечения ребенка в совместную деятельность.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2. Аналог TEACCH: Комплексная система структурированного обучения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России принципы TEACCH (визуальное расписание, зонирование пространства) интегрированы в коррекционную педагогику под общим названием «визуальная поддержка» и «структурированная среда».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lastRenderedPageBreak/>
        <w:t>Отечественные наработки: Традиционная советская школа дефектологии (например, методы Л. С. Выготского) всегда акцентировала внимание на опоре на сохранные анализаторы, что в случае с аутизмом реализуется через визуализацию режима дня и задач.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3. Аналог PECS: СЭМ (Система Эффективной Мотивации) и отечественные системы АДК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России для неговорящих детей часто используются адаптированные варианты альтернативной и дополнительной коммуникации (АДК).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«СЭМ» (Система Эффективной Мотивации): Российская разработка, которая, подобно PECS, использует карточки, но делает больший упор на индивидуальную внутреннюю мотивацию ребенка в рамках отечественной психологической школы.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Глобальное чтение: Метод Б. Д. Корсунской, обучающий ребенка узнавать написанное слово целиком как картинку, что часто заменяет или дополняет систему обмена изображениями. </w:t>
      </w: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Если ABA и PECS — это четкие алгоритмы «стимул-реакция», то российский эмоционально-смысловой подход — это их более гибкая и психологически ориентированная альтернатива. </w:t>
      </w:r>
    </w:p>
    <w:p w:rsidR="004D57F4" w:rsidRDefault="004D57F4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При выборе методов и технологий обучения необходимо учитывать индивидуальные особенности ребёнка и результаты научных исследований.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V. Поддержка семьи: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Семья играет ключевую роль в обучении и развитии ребёнка с ООП. Родители нуждаются в информации, поддержке и обучении, чтобы эффективно помогать своему ребёнку. Важно предоставить родителям доступ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к</w:t>
      </w:r>
      <w:proofErr w:type="gramEnd"/>
      <w:r>
        <w:rPr>
          <w:rFonts w:ascii="Arial" w:hAnsi="Arial" w:cs="Arial"/>
          <w:color w:val="2C2D2E"/>
          <w:sz w:val="23"/>
          <w:szCs w:val="23"/>
        </w:rPr>
        <w:t>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Информации о состоянии ребёнка и методах его лечения и обучения: Родители должны быть хорошо информированы о диагнозе ребёнка, прогнозе и доступных методах лечения и обучения.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Программам обучения для родителей: Родители могут посещать семинары, тренинги и группы поддержки, где они могут научиться эффективным методам взаимодействия с ребёнком и решения проблем.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Психологической поддержке: Родители могут испытывать стресс и эмоциональное истощение из-за трудностей, связанных с воспитанием ребёнка с ООП. Важно предоставить родителям доступ к психологической помощи и поддержке.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VI. Междисциплинарное взаимодействие: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Оптимизация обучения и развития ребёнка с ООП требует междисциплинарного взаимодействия между педагогами, психологами, медицинскими работниками и родителями. Необходимо создать систему, в которой специалисты могут эффективно обмениваться информацией, координировать свои действия и принимать совместные решения.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lastRenderedPageBreak/>
        <w:t>VII. Раннее вмешательство: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Раннее вмешательство является критически важным для успешного обучения и развития детей с ООП. Чем раньше будут выявлены проблемы и начата коррекционная работа, тем больше шансов на достижение положительных результатов. Программы раннего вмешательства должны быть направлены на стимуляцию развития всех областей (когнитивной, эмоциональной, социальной, моторной) и должны учитывать индивидуальные потребности ребёнка.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VIII. Повышение квалификации специалистов: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Успешная реализация программ обучения и развития детей с ООП требует высокого уровня квалификации специалистов. Необходимо обеспечить постоянное повышение квалификации педагогов, психологов и медицинских работников, работающих с детьми с ООП. Специалисты должны быть осведомлены о современных методах и технологиях обучения и должны уметь применять их на практике.</w:t>
      </w:r>
    </w:p>
    <w:p w:rsidR="006C61DF" w:rsidRDefault="006C61DF" w:rsidP="00CF721C">
      <w:pPr>
        <w:pStyle w:val="a3"/>
        <w:shd w:val="clear" w:color="auto" w:fill="FFFFFF"/>
        <w:ind w:firstLine="708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 заключение, оптимизация обучения и развития особенного ребёнка – это сложный и многогранный процесс, требующий комплексного подхода, основанного на научных данных и учитывающего индивидуальные особенности каждого ребёнка. Успешная реализация данной задачи требует согласованных действий всех участников образовательного процесса, включая педагогов, психологов, медицинских работников и родителей. Раннее выявление проблем, разработка индивидуальных образовательных планов, использование научно обоснованных методов и технологий, поддержка семьи и междисциплинарное взаимодействие являются ключевыми факторами успеха.</w:t>
      </w: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080538" w:rsidRDefault="00080538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6C61DF" w:rsidRDefault="006C61DF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6C61DF" w:rsidRDefault="00C81AD6" w:rsidP="006C61DF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lastRenderedPageBreak/>
        <w:t xml:space="preserve"> </w:t>
      </w:r>
      <w:bookmarkStart w:id="0" w:name="_GoBack"/>
      <w:bookmarkEnd w:id="0"/>
      <w:r w:rsidR="006C61DF">
        <w:rPr>
          <w:rFonts w:ascii="Arial" w:hAnsi="Arial" w:cs="Arial"/>
          <w:color w:val="2C2D2E"/>
          <w:sz w:val="23"/>
          <w:szCs w:val="23"/>
        </w:rPr>
        <w:t>Литература: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1. PECS (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Bondy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&amp;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Frost</w:t>
      </w:r>
      <w:proofErr w:type="spellEnd"/>
      <w:r>
        <w:rPr>
          <w:rFonts w:ascii="Arial" w:hAnsi="Arial" w:cs="Arial"/>
          <w:color w:val="2C2D2E"/>
          <w:sz w:val="23"/>
          <w:szCs w:val="23"/>
        </w:rPr>
        <w:t>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Официальный перевод: 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Фрост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Л.,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Бонди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Э. Система альтернативной коммуникации с помощью карточек (PECS): руководство для педагогов. — М.: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Теревинф</w:t>
      </w:r>
      <w:proofErr w:type="spellEnd"/>
      <w:r>
        <w:rPr>
          <w:rFonts w:ascii="Arial" w:hAnsi="Arial" w:cs="Arial"/>
          <w:color w:val="2C2D2E"/>
          <w:sz w:val="23"/>
          <w:szCs w:val="23"/>
        </w:rPr>
        <w:t>, 2011.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Россия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 (методика): Книга Любови Нуриевой «Развитие речи у аутичных детей» (изд. «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Теревинф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>»). Она предлагает авторскую методику работы с неговорящими детьми, во многом перекликающуюся с принципами визуальной поддержки и использования карточек, но адаптированную под российскую логопедическую школу.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2. Прикладной анализ поведения (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Cooper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Heron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&amp;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Heward</w:t>
      </w:r>
      <w:proofErr w:type="spellEnd"/>
      <w:r>
        <w:rPr>
          <w:rFonts w:ascii="Arial" w:hAnsi="Arial" w:cs="Arial"/>
          <w:color w:val="2C2D2E"/>
          <w:sz w:val="23"/>
          <w:szCs w:val="23"/>
        </w:rPr>
        <w:t>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Официальный перевод: Купер Дж. О.,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Херон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Т. Э.,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Хьюард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У. Л. Прикладной анализ поведения. — М.: Практика, 2016</w:t>
      </w:r>
      <w:r w:rsidR="00CF721C">
        <w:rPr>
          <w:rFonts w:ascii="Arial" w:hAnsi="Arial" w:cs="Arial"/>
          <w:color w:val="2C2D2E"/>
          <w:sz w:val="23"/>
          <w:szCs w:val="23"/>
        </w:rPr>
        <w:t>. В профессиональной среде книга называется «Белая книга</w:t>
      </w:r>
      <w:r>
        <w:rPr>
          <w:rFonts w:ascii="Arial" w:hAnsi="Arial" w:cs="Arial"/>
          <w:color w:val="2C2D2E"/>
          <w:sz w:val="23"/>
          <w:szCs w:val="23"/>
        </w:rPr>
        <w:t>».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Российские авторы: Теоретическая база для ПАП в России это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 труды И. П. Павлова об условных рефлексах, на которые неоднократно ссылаются современные поведенческие аналитики.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3. TEACCH (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Schopler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et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al</w:t>
      </w:r>
      <w:proofErr w:type="spellEnd"/>
      <w:r>
        <w:rPr>
          <w:rFonts w:ascii="Arial" w:hAnsi="Arial" w:cs="Arial"/>
          <w:color w:val="2C2D2E"/>
          <w:sz w:val="23"/>
          <w:szCs w:val="23"/>
        </w:rPr>
        <w:t>.)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Официальные материалы: В России широко используется руководство по структурированному обучению, популяризированное Федеральным ресурсным центром (ФРЦ) по организации комплексного сопровождения детей с РАС.</w:t>
      </w:r>
    </w:p>
    <w:p w:rsidR="004D57F4" w:rsidRDefault="00CF721C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Россия </w:t>
      </w:r>
      <w:r w:rsidR="004D57F4">
        <w:rPr>
          <w:rFonts w:ascii="Arial" w:hAnsi="Arial" w:cs="Arial"/>
          <w:color w:val="2C2D2E"/>
          <w:sz w:val="23"/>
          <w:szCs w:val="23"/>
        </w:rPr>
        <w:t xml:space="preserve"> (подход): Элементы структурированного подхода и визуального расписания описаны в работах О. С. Никольской, Е. Р.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Баенской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 и М. М. </w:t>
      </w:r>
      <w:proofErr w:type="spellStart"/>
      <w:r w:rsidR="004D57F4">
        <w:rPr>
          <w:rFonts w:ascii="Arial" w:hAnsi="Arial" w:cs="Arial"/>
          <w:color w:val="2C2D2E"/>
          <w:sz w:val="23"/>
          <w:szCs w:val="23"/>
        </w:rPr>
        <w:t>Либлинг</w:t>
      </w:r>
      <w:proofErr w:type="spellEnd"/>
      <w:r w:rsidR="004D57F4">
        <w:rPr>
          <w:rFonts w:ascii="Arial" w:hAnsi="Arial" w:cs="Arial"/>
          <w:color w:val="2C2D2E"/>
          <w:sz w:val="23"/>
          <w:szCs w:val="23"/>
        </w:rPr>
        <w:t xml:space="preserve"> (Институт коррекционной педагогики), хотя их подход (эмоционально-смысловой) концептуально отличается </w:t>
      </w:r>
      <w:proofErr w:type="gramStart"/>
      <w:r w:rsidR="004D57F4">
        <w:rPr>
          <w:rFonts w:ascii="Arial" w:hAnsi="Arial" w:cs="Arial"/>
          <w:color w:val="2C2D2E"/>
          <w:sz w:val="23"/>
          <w:szCs w:val="23"/>
        </w:rPr>
        <w:t>от</w:t>
      </w:r>
      <w:proofErr w:type="gramEnd"/>
      <w:r w:rsidR="004D57F4">
        <w:rPr>
          <w:rFonts w:ascii="Arial" w:hAnsi="Arial" w:cs="Arial"/>
          <w:color w:val="2C2D2E"/>
          <w:sz w:val="23"/>
          <w:szCs w:val="23"/>
        </w:rPr>
        <w:t xml:space="preserve"> западного TEACCH. </w:t>
      </w:r>
    </w:p>
    <w:p w:rsidR="004D57F4" w:rsidRP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  <w:lang w:val="en-US"/>
        </w:rPr>
      </w:pPr>
      <w:r w:rsidRPr="004D57F4">
        <w:rPr>
          <w:rFonts w:ascii="Arial" w:hAnsi="Arial" w:cs="Arial"/>
          <w:color w:val="2C2D2E"/>
          <w:sz w:val="23"/>
          <w:szCs w:val="23"/>
          <w:lang w:val="en-US"/>
        </w:rPr>
        <w:t xml:space="preserve">4. </w:t>
      </w:r>
      <w:r>
        <w:rPr>
          <w:rFonts w:ascii="Arial" w:hAnsi="Arial" w:cs="Arial"/>
          <w:color w:val="2C2D2E"/>
          <w:sz w:val="23"/>
          <w:szCs w:val="23"/>
        </w:rPr>
        <w:t>Шкала</w:t>
      </w:r>
      <w:r w:rsidRPr="004D57F4">
        <w:rPr>
          <w:rFonts w:ascii="Arial" w:hAnsi="Arial" w:cs="Arial"/>
          <w:color w:val="2C2D2E"/>
          <w:sz w:val="23"/>
          <w:szCs w:val="23"/>
          <w:lang w:val="en-US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Вайнленд</w:t>
      </w:r>
      <w:proofErr w:type="spellEnd"/>
      <w:r w:rsidRPr="004D57F4">
        <w:rPr>
          <w:rFonts w:ascii="Arial" w:hAnsi="Arial" w:cs="Arial"/>
          <w:color w:val="2C2D2E"/>
          <w:sz w:val="23"/>
          <w:szCs w:val="23"/>
          <w:lang w:val="en-US"/>
        </w:rPr>
        <w:t xml:space="preserve"> (Sparrow et al.)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Перевод и адаптация: Русскоязычная версия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Vineland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-II активно используется в России, ее психометрические характеристики на российском материале исследовались Л. Р.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Сайфутдиновой</w:t>
      </w:r>
      <w:proofErr w:type="spellEnd"/>
      <w:r>
        <w:rPr>
          <w:rFonts w:ascii="Arial" w:hAnsi="Arial" w:cs="Arial"/>
          <w:color w:val="2C2D2E"/>
          <w:sz w:val="23"/>
          <w:szCs w:val="23"/>
        </w:rPr>
        <w:t>.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Российский аналог: В отечественной практике для оценки уровня развития и адаптации применяются традиционные патопсихологические методики и «Карта психического развития ребенка» (авторы И. А. Коробейников, В. В. Лебединский). 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5.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Саламанкская</w:t>
      </w:r>
      <w:proofErr w:type="spellEnd"/>
      <w:r>
        <w:rPr>
          <w:rFonts w:ascii="Arial" w:hAnsi="Arial" w:cs="Arial"/>
          <w:color w:val="2C2D2E"/>
          <w:sz w:val="23"/>
          <w:szCs w:val="23"/>
        </w:rPr>
        <w:t xml:space="preserve"> декларация (UNESCO)</w:t>
      </w:r>
    </w:p>
    <w:p w:rsidR="004D57F4" w:rsidRDefault="004D57F4" w:rsidP="004D57F4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Прямой аналог (законодательство): Федеральный закон № 273-ФЗ «Об образовании в Российской Федерации» (особенно статьи об инклюзивном обучении и праве на специальные условия образования).</w:t>
      </w:r>
    </w:p>
    <w:p w:rsidR="00E42368" w:rsidRPr="00080538" w:rsidRDefault="004D57F4" w:rsidP="00080538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Нормативная база: Федеральный государственный образовательный стандарт (ФГОС) начального общего образования </w:t>
      </w:r>
      <w:proofErr w:type="gramStart"/>
      <w:r>
        <w:rPr>
          <w:rFonts w:ascii="Arial" w:hAnsi="Arial" w:cs="Arial"/>
          <w:color w:val="2C2D2E"/>
          <w:sz w:val="23"/>
          <w:szCs w:val="23"/>
        </w:rPr>
        <w:t>обучающихся</w:t>
      </w:r>
      <w:proofErr w:type="gramEnd"/>
      <w:r>
        <w:rPr>
          <w:rFonts w:ascii="Arial" w:hAnsi="Arial" w:cs="Arial"/>
          <w:color w:val="2C2D2E"/>
          <w:sz w:val="23"/>
          <w:szCs w:val="23"/>
        </w:rPr>
        <w:t xml:space="preserve"> с ограниченными возможностями здоровья (ОВЗ). </w:t>
      </w:r>
    </w:p>
    <w:sectPr w:rsidR="00E42368" w:rsidRPr="0008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DF"/>
    <w:rsid w:val="00080538"/>
    <w:rsid w:val="00143F43"/>
    <w:rsid w:val="00252212"/>
    <w:rsid w:val="004D57F4"/>
    <w:rsid w:val="006C61DF"/>
    <w:rsid w:val="00755347"/>
    <w:rsid w:val="009C4730"/>
    <w:rsid w:val="009C666D"/>
    <w:rsid w:val="00C81AD6"/>
    <w:rsid w:val="00CF721C"/>
    <w:rsid w:val="00E4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2026-02-06T08:36:00Z</dcterms:created>
  <dcterms:modified xsi:type="dcterms:W3CDTF">2026-02-06T08:52:00Z</dcterms:modified>
</cp:coreProperties>
</file>