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25502">
      <w:pPr>
        <w:pStyle w:val="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13B10A79">
      <w:pPr>
        <w:pStyle w:val="7"/>
        <w:rPr>
          <w:rFonts w:hint="default" w:ascii="Times New Roman" w:hAnsi="Times New Roman" w:eastAsia="Calibri" w:cs="Times New Roman"/>
          <w:b w:val="0"/>
          <w:bCs w:val="0"/>
          <w:i/>
          <w:iCs/>
          <w:sz w:val="28"/>
          <w:szCs w:val="28"/>
          <w:shd w:val="clear" w:color="auto" w:fill="FFFFFF"/>
          <w:lang w:val="ru-RU"/>
        </w:rPr>
      </w:pPr>
    </w:p>
    <w:p w14:paraId="51A5C188">
      <w:pPr>
        <w:spacing w:after="200" w:line="240" w:lineRule="auto"/>
        <w:jc w:val="center"/>
        <w:rPr>
          <w:rFonts w:ascii="Times New Roman" w:hAnsi="Times New Roman" w:eastAsia="Calibri" w:cs="Times New Roman"/>
          <w:b w:val="0"/>
          <w:bCs w:val="0"/>
          <w:kern w:val="0"/>
          <w:sz w:val="24"/>
          <w:szCs w:val="24"/>
          <w14:ligatures w14:val="none"/>
        </w:rPr>
      </w:pPr>
      <w:bookmarkStart w:id="0" w:name="_Hlk124373967"/>
      <w:r>
        <w:rPr>
          <w:rFonts w:ascii="Times New Roman" w:hAnsi="Times New Roman" w:eastAsia="Calibri" w:cs="Times New Roman"/>
          <w:b w:val="0"/>
          <w:bCs w:val="0"/>
          <w:kern w:val="0"/>
          <w:sz w:val="28"/>
          <w:szCs w:val="28"/>
          <w14:ligatures w14:val="none"/>
        </w:rPr>
        <w:t xml:space="preserve">Выселковский филиал                                                                                  государственного бюджетного профессионального образовательного учреждения «Кропоткинский медицинский колледж»                                                         </w:t>
      </w:r>
      <w:bookmarkEnd w:id="0"/>
      <w:r>
        <w:rPr>
          <w:rFonts w:ascii="Times New Roman" w:hAnsi="Times New Roman" w:eastAsia="Calibri" w:cs="Times New Roman"/>
          <w:b w:val="0"/>
          <w:bCs w:val="0"/>
          <w:kern w:val="0"/>
          <w:sz w:val="28"/>
          <w:szCs w:val="28"/>
          <w14:ligatures w14:val="none"/>
        </w:rPr>
        <w:t>Министерства здравоохранения Краснодарского края                                                                              (</w:t>
      </w:r>
      <w:bookmarkStart w:id="1" w:name="_Hlk124374093"/>
      <w:r>
        <w:rPr>
          <w:rFonts w:ascii="Times New Roman" w:hAnsi="Times New Roman" w:eastAsia="Calibri" w:cs="Times New Roman"/>
          <w:b w:val="0"/>
          <w:bCs w:val="0"/>
          <w:kern w:val="0"/>
          <w:sz w:val="28"/>
          <w:szCs w:val="28"/>
          <w14:ligatures w14:val="none"/>
        </w:rPr>
        <w:t>Выселковский филиал ГБПОУ «Кропоткинский медицинский колледж</w:t>
      </w:r>
      <w:r>
        <w:rPr>
          <w:rFonts w:ascii="Times New Roman" w:hAnsi="Times New Roman" w:eastAsia="Calibri" w:cs="Times New Roman"/>
          <w:b w:val="0"/>
          <w:bCs w:val="0"/>
          <w:kern w:val="0"/>
          <w:sz w:val="24"/>
          <w:szCs w:val="24"/>
          <w14:ligatures w14:val="none"/>
        </w:rPr>
        <w:t>»)</w:t>
      </w:r>
      <w:bookmarkEnd w:id="1"/>
    </w:p>
    <w:p w14:paraId="3843EDE0">
      <w:pPr>
        <w:spacing w:after="200" w:line="240" w:lineRule="auto"/>
        <w:jc w:val="center"/>
        <w:rPr>
          <w:rFonts w:ascii="Times New Roman" w:hAnsi="Times New Roman" w:eastAsia="Calibri" w:cs="Times New Roman"/>
          <w:kern w:val="0"/>
          <w:sz w:val="24"/>
          <w:szCs w:val="24"/>
          <w14:ligatures w14:val="none"/>
        </w:rPr>
      </w:pPr>
    </w:p>
    <w:p w14:paraId="42FBF811">
      <w:pPr>
        <w:pStyle w:val="7"/>
        <w:ind w:left="0" w:leftChars="0" w:firstLine="440" w:firstLineChars="157"/>
        <w:jc w:val="center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725E3DEB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2D4B8A04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0633085B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3B3B8C5C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54690989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3BB1218B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0B92DE8B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06806326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20BE198C">
      <w:pPr>
        <w:pStyle w:val="7"/>
        <w:ind w:left="0" w:leftChars="0" w:firstLine="439" w:firstLineChars="157"/>
        <w:jc w:val="center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  <w:bookmarkStart w:id="2" w:name="_GoBack"/>
      <w:bookmarkEnd w:id="2"/>
    </w:p>
    <w:p w14:paraId="7DBD342E">
      <w:pPr>
        <w:pStyle w:val="7"/>
        <w:ind w:left="-3" w:leftChars="0" w:firstLine="3" w:firstLineChars="0"/>
        <w:jc w:val="center"/>
        <w:rPr>
          <w:rFonts w:hint="default" w:ascii="Times New Roman" w:hAnsi="Times New Roman" w:eastAsia="Calibri" w:cs="Times New Roman"/>
          <w:b/>
          <w:bCs/>
          <w:i w:val="0"/>
          <w:iCs w:val="0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Calibri" w:cs="Times New Roman"/>
          <w:b/>
          <w:bCs/>
          <w:i w:val="0"/>
          <w:iCs w:val="0"/>
          <w:sz w:val="28"/>
          <w:szCs w:val="28"/>
          <w:shd w:val="clear" w:color="auto" w:fill="FFFFFF"/>
          <w:lang w:val="ru-RU"/>
        </w:rPr>
        <w:t>«Развитие читательской грамотности                                                         первокурсников медицинского колледжа»</w:t>
      </w:r>
    </w:p>
    <w:p w14:paraId="09E54E58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45C25DCB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2C01132B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00B78407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3BCCAF89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257FEA3C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03336222">
      <w:pPr>
        <w:pStyle w:val="7"/>
        <w:wordWrap w:val="0"/>
        <w:ind w:firstLine="6160" w:firstLineChars="2200"/>
        <w:jc w:val="both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</w:p>
    <w:p w14:paraId="751D84B8">
      <w:pPr>
        <w:pStyle w:val="7"/>
        <w:wordWrap w:val="0"/>
        <w:ind w:firstLine="6160" w:firstLineChars="2200"/>
        <w:jc w:val="both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</w:p>
    <w:p w14:paraId="1A0B9121">
      <w:pPr>
        <w:pStyle w:val="7"/>
        <w:wordWrap w:val="0"/>
        <w:ind w:firstLine="6160" w:firstLineChars="2200"/>
        <w:jc w:val="both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</w:p>
    <w:p w14:paraId="7D861DC8">
      <w:pPr>
        <w:pStyle w:val="7"/>
        <w:wordWrap w:val="0"/>
        <w:ind w:firstLine="6160" w:firstLineChars="2200"/>
        <w:jc w:val="both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</w:p>
    <w:p w14:paraId="4CCEBC4D">
      <w:pPr>
        <w:pStyle w:val="7"/>
        <w:wordWrap w:val="0"/>
        <w:ind w:firstLine="6160" w:firstLineChars="2200"/>
        <w:jc w:val="both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</w:p>
    <w:p w14:paraId="2F35FD2B">
      <w:pPr>
        <w:pStyle w:val="7"/>
        <w:wordWrap w:val="0"/>
        <w:ind w:firstLine="6160" w:firstLineChars="2200"/>
        <w:jc w:val="both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  <w:t xml:space="preserve"> Подготовила</w:t>
      </w:r>
    </w:p>
    <w:p w14:paraId="7553AC5A">
      <w:pPr>
        <w:pStyle w:val="7"/>
        <w:wordWrap w:val="0"/>
        <w:ind w:left="0" w:leftChars="0" w:firstLine="439" w:firstLineChars="157"/>
        <w:jc w:val="right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  <w:t xml:space="preserve"> преподаватель русского языка </w:t>
      </w:r>
    </w:p>
    <w:p w14:paraId="1158B839">
      <w:pPr>
        <w:pStyle w:val="7"/>
        <w:wordWrap w:val="0"/>
        <w:ind w:firstLine="6300" w:firstLineChars="2250"/>
        <w:jc w:val="both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  <w:t>и литературы</w:t>
      </w:r>
    </w:p>
    <w:p w14:paraId="6DCA7898">
      <w:pPr>
        <w:pStyle w:val="7"/>
        <w:wordWrap w:val="0"/>
        <w:ind w:left="0" w:leftChars="0" w:firstLine="439" w:firstLineChars="157"/>
        <w:jc w:val="center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  <w:t xml:space="preserve">                                                           В.И. Стрельцова</w:t>
      </w:r>
    </w:p>
    <w:p w14:paraId="288B3B62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17FD9D9E">
      <w:pPr>
        <w:pStyle w:val="7"/>
        <w:ind w:left="0" w:leftChars="0" w:firstLine="439" w:firstLineChars="157"/>
        <w:jc w:val="center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</w:p>
    <w:p w14:paraId="31FC140F">
      <w:pPr>
        <w:pStyle w:val="7"/>
        <w:ind w:left="0" w:leftChars="0" w:firstLine="439" w:firstLineChars="157"/>
        <w:jc w:val="center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</w:p>
    <w:p w14:paraId="588A7399">
      <w:pPr>
        <w:pStyle w:val="7"/>
        <w:jc w:val="both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</w:p>
    <w:p w14:paraId="72ACD5F1">
      <w:pPr>
        <w:pStyle w:val="7"/>
        <w:ind w:left="0" w:leftChars="0" w:firstLine="439" w:firstLineChars="157"/>
        <w:jc w:val="center"/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  <w:t>ст-ца Выселки</w:t>
      </w:r>
    </w:p>
    <w:p w14:paraId="7B788A8B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  <w:t xml:space="preserve">                                                              </w:t>
      </w:r>
      <w:r>
        <w:rPr>
          <w:rFonts w:hint="default" w:ascii="Times New Roman" w:hAnsi="Times New Roman" w:eastAsia="Calibri" w:cs="Times New Roman"/>
          <w:b w:val="0"/>
          <w:bCs w:val="0"/>
          <w:i w:val="0"/>
          <w:iCs w:val="0"/>
          <w:sz w:val="28"/>
          <w:szCs w:val="28"/>
          <w:shd w:val="clear" w:color="auto" w:fill="FFFFFF"/>
          <w:lang w:val="ru-RU"/>
        </w:rPr>
        <w:t xml:space="preserve">   2026г.</w:t>
      </w:r>
    </w:p>
    <w:p w14:paraId="71AE589B">
      <w:pPr>
        <w:pStyle w:val="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3FB5CF53">
      <w:pPr>
        <w:pStyle w:val="7"/>
        <w:ind w:left="0" w:leftChars="0" w:firstLine="440" w:firstLineChars="157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1774FB86">
      <w:pPr>
        <w:pStyle w:val="7"/>
        <w:ind w:left="0" w:leftChars="0" w:firstLine="658" w:firstLineChars="235"/>
        <w:jc w:val="both"/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</w:pPr>
    </w:p>
    <w:p w14:paraId="6630FD25">
      <w:pPr>
        <w:pStyle w:val="7"/>
        <w:ind w:left="0" w:leftChars="0" w:firstLine="658" w:firstLineChars="235"/>
        <w:jc w:val="both"/>
        <w:rPr>
          <w:rFonts w:ascii="Times New Roman" w:hAnsi="Times New Roman" w:eastAsia="Calibri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  <w:t xml:space="preserve">(Сл. 1) </w:t>
      </w:r>
      <w:r>
        <w:rPr>
          <w:rFonts w:ascii="Times New Roman" w:hAnsi="Times New Roman" w:eastAsia="Calibri" w:cs="Times New Roman"/>
          <w:sz w:val="28"/>
          <w:szCs w:val="28"/>
          <w:shd w:val="clear" w:color="auto" w:fill="FFFFFF"/>
        </w:rPr>
        <w:t>Тема моего сообщения – «Развитие читательской грамотности первокурсников медицинского колледжа». Взяться за нее меня заставил опыт работы с первокурсниками по русскому языку и литературе. Беда в том. что дети не читают, речь развита плохо, строить монологическое высказывание не умеют. Решила поучиться сама: поработала с научной литературой, изучила опыт работы других преподавателей, чтобы попробовать внести что-то новое в процесс преподавания.</w:t>
      </w:r>
    </w:p>
    <w:p w14:paraId="68884282">
      <w:pPr>
        <w:pStyle w:val="7"/>
        <w:ind w:left="0" w:leftChars="0" w:firstLine="658" w:firstLineChars="2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  <w:t xml:space="preserve">(Сл. 2) </w:t>
      </w:r>
      <w:r>
        <w:rPr>
          <w:rFonts w:ascii="Times New Roman" w:hAnsi="Times New Roman" w:cs="Times New Roman"/>
          <w:sz w:val="28"/>
          <w:szCs w:val="28"/>
        </w:rPr>
        <w:t>Еще К.Д. Ушинский в свое время сказал:    «Читать – это ещё ничего не значит: что читать и как понимать читаемое – вот в чём главное дело».</w:t>
      </w:r>
    </w:p>
    <w:p w14:paraId="6BD37AF9">
      <w:pPr>
        <w:pStyle w:val="7"/>
        <w:ind w:left="0" w:leftChars="0" w:firstLine="658" w:firstLineChars="235"/>
        <w:jc w:val="both"/>
        <w:rPr>
          <w:rFonts w:ascii="Times New Roman" w:hAnsi="Times New Roman" w:eastAsia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  <w:t xml:space="preserve">(Сл. 3) </w:t>
      </w:r>
      <w:r>
        <w:rPr>
          <w:rFonts w:ascii="Times New Roman" w:hAnsi="Times New Roman" w:cs="Times New Roman"/>
          <w:sz w:val="28"/>
          <w:szCs w:val="28"/>
        </w:rPr>
        <w:t xml:space="preserve">Если задаться вопросом, </w:t>
      </w:r>
      <w:r>
        <w:rPr>
          <w:rFonts w:ascii="Times New Roman" w:hAnsi="Times New Roman" w:cs="Times New Roman"/>
          <w:sz w:val="28"/>
          <w:szCs w:val="28"/>
          <w:lang w:val="ru-RU"/>
        </w:rPr>
        <w:t>что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же такое читательская грамотность и </w:t>
      </w:r>
      <w:r>
        <w:rPr>
          <w:rFonts w:ascii="Times New Roman" w:hAnsi="Times New Roman" w:cs="Times New Roman"/>
          <w:sz w:val="28"/>
          <w:szCs w:val="28"/>
        </w:rPr>
        <w:t>когда е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заниматься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то следует отметить, что этот процесс происходит на всех уроках и во внеурочное время, когда читатель встречается с книгой или с любым источником информации.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3A8B889A">
      <w:pPr>
        <w:pStyle w:val="7"/>
        <w:ind w:left="0" w:leftChars="0" w:firstLine="658" w:firstLineChars="23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Существуют методы и приемы, помогающие научиться понимать тексты. Добиться этого можно, если научить ребят «чувствовать» читаемое, «пропускать через себя»</w:t>
      </w: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 xml:space="preserve">.Студенты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определяютосновную мысль теста;  отвечают на вопросы по тексту; выписать три – пять ключевых слов, которые подтверждают ответ пишущего. Далее необходимо определить лексическое значение слова, которое вышло из активного повседневного употребления. Это далеко не полный перечень заданий, используемых на уроке </w:t>
      </w:r>
    </w:p>
    <w:p w14:paraId="735D0D4B">
      <w:pPr>
        <w:pStyle w:val="7"/>
        <w:ind w:left="0" w:leftChars="0" w:firstLine="658" w:firstLineChars="23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  <w:t xml:space="preserve">(Сл. 4) </w:t>
      </w:r>
      <w:r>
        <w:rPr>
          <w:rFonts w:ascii="Times New Roman" w:hAnsi="Times New Roman" w:cs="Times New Roman"/>
          <w:sz w:val="28"/>
          <w:szCs w:val="28"/>
        </w:rPr>
        <w:t xml:space="preserve">Формировать читательскую грамотность позволяет технология смыслового чтения. </w:t>
      </w:r>
    </w:p>
    <w:p w14:paraId="046639C1">
      <w:pPr>
        <w:pStyle w:val="7"/>
        <w:ind w:left="0" w:leftChars="0" w:firstLine="658" w:firstLineChars="235"/>
        <w:jc w:val="both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Данная технология включает в себя три этапа работы с текстом: </w:t>
      </w: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до чтения, во время чтения, после чтения. </w:t>
      </w:r>
    </w:p>
    <w:p w14:paraId="6C69B9E8">
      <w:pPr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hint="default" w:ascii="Times New Roman" w:hAnsi="Times New Roman" w:eastAsia="Calibri" w:cs="Times New Roman"/>
          <w:b/>
          <w:bCs/>
          <w:i/>
          <w:iCs/>
          <w:sz w:val="28"/>
          <w:szCs w:val="28"/>
          <w:shd w:val="clear" w:color="auto" w:fill="FFFFFF"/>
          <w:lang w:val="ru-RU"/>
        </w:rPr>
        <w:t xml:space="preserve">(Сл. 5) 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Стратегии работы с текстом до чтения, используемые на уроках</w:t>
      </w:r>
      <w:r>
        <w:rPr>
          <w:rFonts w:hint="default" w:ascii="Times New Roman" w:hAnsi="Times New Roman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,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такие, как «Мозговой штурм», «Ассоциативный куст», «Ориентиры предвосхищения», «Глоссарий», «Лови ошибку», «Рассечение вопроса». </w:t>
      </w:r>
    </w:p>
    <w:p w14:paraId="5E490339">
      <w:pPr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Начиная изучение любого литературного произведения, обязательно работаем с заглавием текста. В этом помогает стратегия «Рассечение вопроса», когда студенты пытаются по смыслу догадаться о возможном содержании текста на основе анализа его заглавия. Интересные предположения высказывают первокурсники при анализе заглавий таких произведений, как «Отцы и дети»   И.С. Тургенева, «Война и мир» Л.Н. Толстого, «Преступление и наказание»           Ф.М. Достоевского, «Очарованный странник» Н.С. Лескова. А уж какие предположения вызывает название поэмы Н.А. Некрасова «Кому на Руси жить хорошо»!..</w:t>
      </w:r>
    </w:p>
    <w:p w14:paraId="6AB863D2">
      <w:pPr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Прием «Ассоциативный куст</w:t>
      </w:r>
      <w:r>
        <w:rPr>
          <w:rFonts w:hint="default" w:ascii="Times New Roman" w:hAnsi="Times New Roman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». Я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даю ключевое слово, а обучающиеся называют все возможные ассоциации к нему (например, слово «очарованный» – колдовство, поэтический, чувственность, что-то волшебное, таинственное. Такие ассоциации возникают у первокурсников к этому слову и очень часто вспоминают пушкинское видение осени – «очей очарованье», а  слово «странник» вызывает следующие ассоциации: путник, путешествие, дорога, страна и др.). </w:t>
      </w:r>
    </w:p>
    <w:p w14:paraId="0BB3C1C9">
      <w:pPr>
        <w:spacing w:after="0" w:line="240" w:lineRule="auto"/>
        <w:ind w:left="0" w:leftChars="0" w:firstLine="658" w:firstLineChars="235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  <w:t>(Сл. 6)</w:t>
      </w:r>
      <w:r>
        <w:rPr>
          <w:rFonts w:hint="default" w:ascii="Times New Roman" w:hAnsi="Times New Roman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Прием</w:t>
      </w:r>
      <w:r>
        <w:rPr>
          <w:rFonts w:hint="default" w:ascii="Times New Roman" w:hAnsi="Times New Roman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«Верите ли вы, что...», представленный на слайде, может использоваться абсолютно на любом уроке цикла общеобразовательных дисциплин. Так как преподаю русский язык и литературу, демонстрирую применение этого приема на уроке литературы перед изучением жизни и творчества Л.Н. Толстого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  <w:t xml:space="preserve"> (Сл. 7) </w:t>
      </w:r>
    </w:p>
    <w:p w14:paraId="5C1E046F">
      <w:pPr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«Ориентиры предвосхищения» – еще один эффективный прием предтекстовой 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деятельности. Его цель – актуализация предшествующих знаний и опыта, имеющих отношение к теме текста. </w:t>
      </w:r>
    </w:p>
    <w:p w14:paraId="18D8E103">
      <w:pPr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  <w:t xml:space="preserve">(Сл. 8) 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Перед чтением текста обучающимся предлагается поработать с таблицей, в которой они должны выразить свое отношение к суждениям автора или героев текста («+» – согласен, «-» – не согласен). Обучающиеся возвращаются </w:t>
      </w:r>
    </w:p>
    <w:p w14:paraId="61AB2694">
      <w:pPr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к таблицепосле анализа текста. Потом объясняют, почему ответ изменился, если это произошло. </w:t>
      </w:r>
    </w:p>
    <w:p w14:paraId="4DE763FA">
      <w:pPr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Например, перед изучением  «Очарованного странника» Н</w:t>
      </w:r>
      <w:r>
        <w:rPr>
          <w:rFonts w:hint="default" w:ascii="Times New Roman" w:hAnsi="Times New Roman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.С. Лескова 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студентам  можно предложить заполнить такую таблицу: </w:t>
      </w:r>
    </w:p>
    <w:p w14:paraId="42A2C562">
      <w:pPr>
        <w:spacing w:after="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Style w:val="5"/>
        <w:tblW w:w="0" w:type="auto"/>
        <w:tblInd w:w="5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3544"/>
        <w:gridCol w:w="3408"/>
      </w:tblGrid>
      <w:tr w14:paraId="1E5D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shd w:val="clear" w:color="auto" w:fill="auto"/>
            <w:vAlign w:val="top"/>
          </w:tcPr>
          <w:p w14:paraId="37A34B2F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До анализа</w:t>
            </w:r>
          </w:p>
        </w:tc>
        <w:tc>
          <w:tcPr>
            <w:tcW w:w="3544" w:type="dxa"/>
          </w:tcPr>
          <w:p w14:paraId="59F89A5E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Суждение</w:t>
            </w:r>
          </w:p>
        </w:tc>
        <w:tc>
          <w:tcPr>
            <w:tcW w:w="3408" w:type="dxa"/>
          </w:tcPr>
          <w:p w14:paraId="56231612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После работы над текстом</w:t>
            </w:r>
          </w:p>
        </w:tc>
      </w:tr>
      <w:tr w14:paraId="498D4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</w:tcPr>
          <w:p w14:paraId="59A7CE52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Повести «Левша»                          и «Очарованный  странник»                              Н.С. Лескова                        входят в цикл его произведений                           о праведниках                 </w:t>
            </w:r>
          </w:p>
        </w:tc>
        <w:tc>
          <w:tcPr>
            <w:tcW w:w="3544" w:type="dxa"/>
          </w:tcPr>
          <w:p w14:paraId="15A31355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408" w:type="dxa"/>
          </w:tcPr>
          <w:p w14:paraId="4CCBAF82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1772FBD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2F39E9B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226BC5F6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A2CE6AC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47C4EF5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24FCFB4C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EC26248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39BB0AEA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A09A16E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083DEAD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2129F72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F9EB36D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71999D7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2C295ACE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13103BD">
      <w:pPr>
        <w:spacing w:after="0" w:line="240" w:lineRule="auto"/>
        <w:ind w:left="0" w:leftChars="0" w:firstLine="564" w:firstLineChars="235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5AE10B">
      <w:pPr>
        <w:spacing w:after="0" w:line="240" w:lineRule="auto"/>
        <w:ind w:left="0" w:leftChars="0" w:firstLine="658" w:firstLineChars="235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NewRomanPS-BoldMT" w:hAnsi="TimesNewRomanPS-BoldMT" w:eastAsia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Основные приемы работы с текстом во время чтения: </w:t>
      </w:r>
    </w:p>
    <w:p w14:paraId="638A71E9">
      <w:pPr>
        <w:spacing w:after="0" w:line="240" w:lineRule="auto"/>
        <w:ind w:left="0" w:leftChars="0" w:firstLine="658" w:firstLineChars="235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– чтение текста «с карандашом»; </w:t>
      </w:r>
    </w:p>
    <w:p w14:paraId="5140E497">
      <w:pPr>
        <w:spacing w:after="0" w:line="240" w:lineRule="auto"/>
        <w:ind w:left="0" w:leftChars="0" w:firstLine="658" w:firstLineChars="235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– определение основных понятий (без чтения всего текста); </w:t>
      </w:r>
    </w:p>
    <w:p w14:paraId="418E52BE">
      <w:pPr>
        <w:spacing w:after="0" w:line="240" w:lineRule="auto"/>
        <w:ind w:left="0" w:leftChars="0" w:firstLine="658" w:firstLineChars="235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– составление таблиц (выборочное чтение); </w:t>
      </w:r>
    </w:p>
    <w:p w14:paraId="0C090D5B">
      <w:pPr>
        <w:spacing w:after="0" w:line="240" w:lineRule="auto"/>
        <w:ind w:left="0" w:leftChars="0" w:firstLine="658" w:firstLineChars="235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– составление плана текста (для пересказа); </w:t>
      </w:r>
    </w:p>
    <w:p w14:paraId="553409DB">
      <w:pPr>
        <w:spacing w:after="0" w:line="240" w:lineRule="auto"/>
        <w:ind w:left="0" w:leftChars="0" w:firstLine="658" w:firstLineChars="235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– поиск пропущенных слов; </w:t>
      </w:r>
    </w:p>
    <w:p w14:paraId="5E78F035">
      <w:pPr>
        <w:spacing w:after="0" w:line="240" w:lineRule="auto"/>
        <w:ind w:left="0" w:leftChars="0" w:firstLine="658" w:firstLineChars="235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– анализ текста (приемы: диалог с автором через текст, комментированное чтение, беседа по прочитанному, выделение ключевых слов и проч.). </w:t>
      </w:r>
    </w:p>
    <w:p w14:paraId="43EDEFF8">
      <w:pPr>
        <w:spacing w:after="0" w:line="240" w:lineRule="auto"/>
        <w:ind w:left="0" w:leftChars="0" w:firstLine="658" w:firstLineChars="235"/>
        <w:jc w:val="both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00000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  <w:t xml:space="preserve">(Сл. 9) 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000000"/>
          <w:kern w:val="0"/>
          <w:sz w:val="28"/>
          <w:szCs w:val="28"/>
          <w:lang w:val="en-US" w:eastAsia="ru-RU"/>
          <w14:ligatures w14:val="none"/>
        </w:rPr>
        <w:t xml:space="preserve"> «Опорный конспект, или Конкурс шпаргалок» - еще один эффективный прием для формирования читательского умения находить и извлекать информацию из графиков, диаграмм, таблиц, схем, ориентируясь на подписи под рисунками. Студенты учатся сами составлять опорный конспект по изучаемой теме и озвучивать его. Почему этот прием называется еще и конкурсом шпаргалок? Потому что так отрабатываается умение сворачивать и разворачивать информацию в определенных ограничительных условиях.  </w:t>
      </w:r>
    </w:p>
    <w:p w14:paraId="09E9E468">
      <w:pPr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Работа с текстом после чтения 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направлена на достижение понимания смысла текста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</w:p>
    <w:p w14:paraId="7E503EFE">
      <w:pPr>
        <w:numPr>
          <w:ilvl w:val="0"/>
          <w:numId w:val="1"/>
        </w:numPr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NewRomanPS-ItalicMT" w:hAnsi="TimesNewRomanPS-ItalicMT" w:eastAsia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Концептуальная (смысловая) беседа по тексту. </w:t>
      </w:r>
      <w:r>
        <w:rPr>
          <w:rFonts w:hint="default" w:ascii="TimesNewRomanPS-ItalicMT" w:hAnsi="TimesNewRomanPS-ItalicMT" w:eastAsia="Times New Roman" w:cs="Times New Roman"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  <w:t xml:space="preserve">                                       </w:t>
      </w:r>
      <w:r>
        <w:rPr>
          <w:rFonts w:hint="default" w:ascii="TimesNewRomanPS-ItalicMT" w:hAnsi="TimesNewRomanPS-ItalicMT" w:eastAsia="Times New Roman" w:cs="Times New Roman"/>
          <w:i w:val="0"/>
          <w:iCs w:val="0"/>
          <w:color w:val="000000"/>
          <w:kern w:val="0"/>
          <w:sz w:val="28"/>
          <w:szCs w:val="28"/>
          <w:lang w:val="en-US" w:eastAsia="ru-RU"/>
          <w14:ligatures w14:val="none"/>
        </w:rPr>
        <w:t>Преподава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тель ставит концептуальный вопрос к тексту в целом. Далее следуют ответы ребят на этот вопрос и беседа. Ее результатом должно стать понимание авторского смысла. </w:t>
      </w:r>
    </w:p>
    <w:p w14:paraId="63432313">
      <w:pPr>
        <w:numPr>
          <w:ilvl w:val="0"/>
          <w:numId w:val="0"/>
        </w:numPr>
        <w:spacing w:after="0" w:line="240" w:lineRule="auto"/>
        <w:ind w:leftChars="235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2. </w:t>
      </w:r>
      <w:r>
        <w:rPr>
          <w:rFonts w:ascii="TimesNewRomanPS-ItalicMT" w:hAnsi="TimesNewRomanPS-ItalicMT" w:eastAsia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Знакомство с писателем. 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Беседа о личности писателя рекомендуется </w:t>
      </w:r>
    </w:p>
    <w:p w14:paraId="210AF9E1">
      <w:pPr>
        <w:spacing w:after="0" w:line="240" w:lineRule="auto"/>
        <w:ind w:left="0" w:leftChars="0" w:firstLine="658" w:firstLineChars="235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после чтения произведения, т.к. только теперь читатель сможет соотнести содержание произведения с тем представлением о личности автора, которое у него сложилось в процессе чтения. </w:t>
      </w:r>
    </w:p>
    <w:p w14:paraId="4CB5CF0F">
      <w:pPr>
        <w:numPr>
          <w:ilvl w:val="0"/>
          <w:numId w:val="2"/>
        </w:numPr>
        <w:spacing w:after="0" w:line="240" w:lineRule="auto"/>
        <w:ind w:left="0" w:leftChars="0" w:firstLine="658" w:firstLineChars="235"/>
        <w:jc w:val="both"/>
        <w:rPr>
          <w:rFonts w:ascii="TimesNewRomanPS-ItalicMT" w:hAnsi="TimesNewRomanPS-ItalicMT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NewRomanPS-ItalicMT" w:hAnsi="TimesNewRomanPS-ItalicMT" w:eastAsia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Выполнение творческих заданий. </w:t>
      </w:r>
      <w:r>
        <w:rPr>
          <w:rFonts w:hint="eastAsia" w:ascii="TimesNewRomanPS-ItalicMT" w:hAnsi="TimesNewRomanPS-ItalicMT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Я</w:t>
      </w:r>
      <w:r>
        <w:rPr>
          <w:rFonts w:ascii="TimesNewRomanPS-ItalicMT" w:hAnsi="TimesNewRomanPS-ItalicMT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зачастую не прошу написать  сочинение. </w:t>
      </w:r>
      <w:r>
        <w:rPr>
          <w:rFonts w:hint="eastAsia" w:ascii="TimesNewRomanPS-ItalicMT" w:hAnsi="TimesNewRomanPS-ItalicMT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</w:t>
      </w:r>
      <w:r>
        <w:rPr>
          <w:rFonts w:ascii="TimesNewRomanPS-ItalicMT" w:hAnsi="TimesNewRomanPS-ItalicMT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туденты могут найти любое из них в интернете. </w:t>
      </w:r>
      <w:r>
        <w:rPr>
          <w:rFonts w:hint="eastAsia" w:ascii="TimesNewRomanPS-ItalicMT" w:hAnsi="TimesNewRomanPS-ItalicMT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</w:t>
      </w:r>
      <w:r>
        <w:rPr>
          <w:rFonts w:ascii="TimesNewRomanPS-ItalicMT" w:hAnsi="TimesNewRomanPS-ItalicMT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потому они пишут письмо литературному герою или автору, либо письмо от лица действующего персонажа произведения. Это стимулирует их интерес к заданию, которое будет выполнено творчески.</w:t>
      </w:r>
    </w:p>
    <w:p w14:paraId="5DEAC381">
      <w:pPr>
        <w:numPr>
          <w:ilvl w:val="0"/>
          <w:numId w:val="0"/>
        </w:numPr>
        <w:spacing w:after="0" w:line="240" w:lineRule="auto"/>
        <w:ind w:left="0" w:leftChars="0" w:firstLine="708" w:firstLineChars="0"/>
        <w:jc w:val="both"/>
        <w:rPr>
          <w:rFonts w:hint="default" w:ascii="TimesNewRomanPS-ItalicMT" w:hAnsi="TimesNewRomanPS-ItalicMT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</w:pPr>
      <w:r>
        <w:rPr>
          <w:rFonts w:ascii="TimesNewRomanPS-ItalicMT" w:hAnsi="TimesNewRomanPS-ItalicMT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Например</w:t>
      </w:r>
      <w:r>
        <w:rPr>
          <w:rFonts w:hint="default" w:ascii="TimesNewRomanPS-ItalicMT" w:hAnsi="TimesNewRomanPS-ItalicMT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, после изучения романа И.С. Тургенева «Отцы и дети» студенты пишут письмо от имени Евгения Базарова родителям. Причем я не ставлю перед ними временные рамки. Многие писали его как эпизод перед смертью главного героя, когда он точно знал, что умрет, поэтому в письме не только признается в искренней любви к матери и отцу, но и подводит итог своей короткой жизни, понимая ошибочность теории нигилизма. Ребята потом признавались мне, что им было трудно выполнить такое задание еще и потому, что ставили себя на место героя и думали о своих отношениях с собственными родителями. Это такой нравственный урок, который преподносит автор своим произведением читателям.</w:t>
      </w:r>
    </w:p>
    <w:p w14:paraId="081CDC64">
      <w:pPr>
        <w:numPr>
          <w:ilvl w:val="0"/>
          <w:numId w:val="0"/>
        </w:numPr>
        <w:spacing w:after="0" w:line="240" w:lineRule="auto"/>
        <w:ind w:left="0" w:leftChars="0" w:firstLine="658" w:firstLineChars="235"/>
        <w:jc w:val="both"/>
        <w:rPr>
          <w:rFonts w:hint="default" w:ascii="TimesNewRomanPS-ItalicMT" w:hAnsi="TimesNewRomanPS-ItalicMT" w:eastAsia="Times New Roman" w:cs="Times New Roman"/>
          <w:b w:val="0"/>
          <w:bCs w:val="0"/>
          <w:i w:val="0"/>
          <w:iCs w:val="0"/>
          <w:color w:val="00000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NewRomanPS-ItalicMT" w:hAnsi="TimesNewRomanPS-ItalicMT" w:eastAsia="Times New Roman" w:cs="Times New Roman"/>
          <w:b/>
          <w:bCs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  <w:t xml:space="preserve">(Сл. 10) </w:t>
      </w:r>
      <w:r>
        <w:rPr>
          <w:rFonts w:ascii="TimesNewRomanPS-ItalicMT" w:hAnsi="TimesNewRomanPS-ItalicMT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Прием</w:t>
      </w:r>
      <w:r>
        <w:rPr>
          <w:rFonts w:hint="default" w:ascii="TimesNewRomanPS-ItalicMT" w:hAnsi="TimesNewRomanPS-ItalicMT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«Письмо с дырками (пробелами) может применяться на практическом занятии по литературе, привожу пример использования этого приема при изучении рассказа А.П. Чехова «Человек в футляре» или на занятиях по русскому языку </w:t>
      </w:r>
      <w:r>
        <w:rPr>
          <w:rFonts w:hint="default" w:ascii="TimesNewRomanPS-ItalicMT" w:hAnsi="TimesNewRomanPS-ItalicMT" w:eastAsia="Times New Roman" w:cs="Times New Roman"/>
          <w:b/>
          <w:bCs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  <w:t>(Сл.11) -</w:t>
      </w:r>
      <w:r>
        <w:rPr>
          <w:rFonts w:hint="default" w:ascii="TimesNewRomanPS-ItalicMT" w:hAnsi="TimesNewRomanPS-ItalicMT" w:eastAsia="Times New Roman" w:cs="Times New Roman"/>
          <w:b w:val="0"/>
          <w:bCs w:val="0"/>
          <w:i w:val="0"/>
          <w:iCs w:val="0"/>
          <w:color w:val="000000"/>
          <w:kern w:val="0"/>
          <w:sz w:val="28"/>
          <w:szCs w:val="28"/>
          <w:lang w:val="en-US" w:eastAsia="ru-RU"/>
          <w14:ligatures w14:val="none"/>
        </w:rPr>
        <w:t xml:space="preserve"> при обобщении темы «Причастие».</w:t>
      </w:r>
    </w:p>
    <w:p w14:paraId="338F017F">
      <w:pPr>
        <w:numPr>
          <w:ilvl w:val="0"/>
          <w:numId w:val="0"/>
        </w:numPr>
        <w:spacing w:after="0" w:line="240" w:lineRule="auto"/>
        <w:ind w:left="0" w:leftChars="0" w:firstLine="658" w:firstLineChars="235"/>
        <w:jc w:val="both"/>
        <w:rPr>
          <w:rFonts w:hint="default" w:ascii="TimesNewRomanPS-ItalicMT" w:hAnsi="TimesNewRomanPS-ItalicMT" w:eastAsia="Times New Roman" w:cs="Times New Roman"/>
          <w:b w:val="0"/>
          <w:bCs w:val="0"/>
          <w:i w:val="0"/>
          <w:iCs w:val="0"/>
          <w:color w:val="00000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NewRomanPS-ItalicMT" w:hAnsi="TimesNewRomanPS-ItalicMT" w:eastAsia="Times New Roman" w:cs="Times New Roman"/>
          <w:b/>
          <w:bCs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  <w:t xml:space="preserve">(Сл.12) </w:t>
      </w:r>
      <w:r>
        <w:rPr>
          <w:rFonts w:hint="default" w:ascii="TimesNewRomanPS-ItalicMT" w:hAnsi="TimesNewRomanPS-ItalicMT" w:eastAsia="Times New Roman" w:cs="Times New Roman"/>
          <w:b w:val="0"/>
          <w:bCs w:val="0"/>
          <w:i w:val="0"/>
          <w:iCs w:val="0"/>
          <w:color w:val="000000"/>
          <w:kern w:val="0"/>
          <w:sz w:val="28"/>
          <w:szCs w:val="28"/>
          <w:lang w:val="en-US" w:eastAsia="ru-RU"/>
          <w14:ligatures w14:val="none"/>
        </w:rPr>
        <w:t xml:space="preserve">На слайде представлен лишь один эпизод из бесчисленной возможности применения приема «Лови ошибку», активизирующего внимание обучающихся. Прием хорош для проверки пройденного материала, для повторения важных фактов. </w:t>
      </w:r>
    </w:p>
    <w:p w14:paraId="1640F575">
      <w:pPr>
        <w:pStyle w:val="4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12" w:beforeAutospacing="0" w:after="12" w:afterAutospacing="0" w:line="240" w:lineRule="atLeast"/>
        <w:ind w:left="0" w:leftChars="0" w:firstLine="658" w:firstLineChars="235"/>
        <w:jc w:val="both"/>
        <w:rPr>
          <w:rFonts w:ascii="sans-serif" w:hAnsi="sans-serif" w:eastAsia="sans-serif" w:cs="sans-serif"/>
          <w:i w:val="0"/>
          <w:iCs w:val="0"/>
          <w:caps w:val="0"/>
          <w:color w:val="212529"/>
          <w:spacing w:val="0"/>
        </w:rPr>
      </w:pPr>
      <w:r>
        <w:rPr>
          <w:rFonts w:hint="default" w:ascii="TimesNewRomanPS-ItalicMT" w:hAnsi="TimesNewRomanPS-ItalicMT" w:eastAsia="Times New Roman" w:cs="Times New Roman"/>
          <w:b/>
          <w:bCs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  <w:t>(Сл.13) «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Толстые и тонкие вопросы» — это способ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 xml:space="preserve"> 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 взаимоопроса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об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уча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ю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щихся по теме, при котором «тонкий» вопрос предполагает репродуктивный однозначный ответ (чаще это «да» или «нет»), а «толстый» (проблемный) требует глубокого осмысления задания,  анализ информации.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 xml:space="preserve"> Наверняка многие используют этот прием на своих уроках.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 xml:space="preserve">После изучения темы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ru-RU"/>
        </w:rPr>
        <w:t xml:space="preserve">студентам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предлагается сформулировать по три «тонких» и три «толстых» вопроса», связанных с пройденным материалом. Затем они опрашивают друг друга, используя таблицы «толстых» и «тонких» вопросов.</w:t>
      </w:r>
    </w:p>
    <w:p w14:paraId="6EB20B43">
      <w:pPr>
        <w:pStyle w:val="4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12" w:beforeAutospacing="0" w:after="12" w:afterAutospacing="0" w:line="240" w:lineRule="atLeast"/>
        <w:ind w:left="0" w:leftChars="0" w:firstLine="658" w:firstLineChars="235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 xml:space="preserve">Таблица «Толстых» и «Тонких» вопросов может быть использована на любой </w:t>
      </w:r>
      <w:r>
        <w:rPr>
          <w:rFonts w:hint="default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ru-RU"/>
        </w:rPr>
        <w:t>стадии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 xml:space="preserve"> урок</w:t>
      </w:r>
      <w:r>
        <w:rPr>
          <w:rFonts w:hint="default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ru-RU"/>
        </w:rPr>
        <w:t>а</w:t>
      </w:r>
    </w:p>
    <w:p w14:paraId="524C025E">
      <w:pPr>
        <w:keepNext w:val="0"/>
        <w:keepLines w:val="0"/>
        <w:widowControl/>
        <w:suppressLineNumbers w:val="0"/>
        <w:ind w:left="0" w:leftChars="0" w:firstLine="661" w:firstLineChars="235"/>
        <w:jc w:val="both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  <w14:ligatures w14:val="standardContextual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(Сл. 14)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Как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еще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можно помочь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>молодежи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 заинтересоваться миром чтения и книг?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 Думается, что этим нужно заниматься не только на занятиях, но и во внеурочной деятельности.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 В моей практике присутствуют такие формы внеурочной деятельности: викторины, презентации, литературные конкурсы, биографические доклады и сообщения, исследовательские проекты,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литературные вечера,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>участие в театральных постановках (инсценирование).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 Уже доброй традицией стало ежегодное празднование Всемирного дня поэзии. Студенты не только выразительно читают стихи классиков, но и собственного сочинения, инсценируют эпизоды литературных произведений. На слайде - инсценирование объяснения Татьяны Лариной с Евгением Онегиным на балу. Такая форма работы приобщает ребят к миру искусства, формирует навыки осознанного чтения.  </w:t>
      </w:r>
    </w:p>
    <w:p w14:paraId="73ED36A8">
      <w:pPr>
        <w:keepNext w:val="0"/>
        <w:keepLines w:val="0"/>
        <w:widowControl/>
        <w:suppressLineNumbers w:val="0"/>
        <w:ind w:left="0" w:leftChars="0" w:firstLine="658" w:firstLineChars="235"/>
        <w:jc w:val="both"/>
        <w:rPr>
          <w:rFonts w:hint="default" w:ascii="Times New Roman" w:hAnsi="Times New Roman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Обобщая сказанное, отмечу самое главное - эффективность работы по формированию читательской грамотности зависит, прежде всего, от педагога, который должен сам быть заинтересованным и интересным соучастником этого процесса.                                                                   </w:t>
      </w:r>
    </w:p>
    <w:p w14:paraId="2A7705D3">
      <w:pPr>
        <w:keepNext w:val="0"/>
        <w:keepLines w:val="0"/>
        <w:widowControl/>
        <w:suppressLineNumbers w:val="0"/>
        <w:ind w:left="0" w:leftChars="0" w:firstLine="658" w:firstLineChars="235"/>
        <w:jc w:val="both"/>
        <w:rPr>
          <w:rFonts w:hint="default" w:ascii="Times New Roman" w:hAnsi="Times New Roman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kern w:val="0"/>
          <w:sz w:val="28"/>
          <w:szCs w:val="28"/>
          <w:lang w:val="en-US" w:eastAsia="ru-RU"/>
          <w14:ligatures w14:val="none"/>
        </w:rPr>
        <w:t>(Сл. 15)</w:t>
      </w:r>
      <w:r>
        <w:rPr>
          <w:rFonts w:hint="default" w:ascii="Times New Roman" w:hAnsi="Times New Roman" w:eastAsia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Спасибо за внимание. </w:t>
      </w:r>
    </w:p>
    <w:p w14:paraId="642DD857">
      <w:pPr>
        <w:spacing w:after="0" w:line="240" w:lineRule="auto"/>
        <w:ind w:left="0" w:leftChars="0" w:right="-143" w:firstLine="658" w:firstLineChars="235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</w:t>
      </w:r>
    </w:p>
    <w:p w14:paraId="61D46C5C">
      <w:pPr>
        <w:ind w:left="0" w:leftChars="0" w:firstLine="517" w:firstLineChars="235"/>
        <w:jc w:val="both"/>
      </w:pPr>
    </w:p>
    <w:sectPr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98D68F"/>
    <w:multiLevelType w:val="singleLevel"/>
    <w:tmpl w:val="AB98D6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FA07D84"/>
    <w:multiLevelType w:val="singleLevel"/>
    <w:tmpl w:val="CFA07D84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36F"/>
    <w:rsid w:val="000211C5"/>
    <w:rsid w:val="00023F5C"/>
    <w:rsid w:val="00031417"/>
    <w:rsid w:val="00036FE0"/>
    <w:rsid w:val="000553CA"/>
    <w:rsid w:val="00061606"/>
    <w:rsid w:val="000D507D"/>
    <w:rsid w:val="00114450"/>
    <w:rsid w:val="00126C64"/>
    <w:rsid w:val="00165A8E"/>
    <w:rsid w:val="001E7E3A"/>
    <w:rsid w:val="001F72A1"/>
    <w:rsid w:val="00200CA5"/>
    <w:rsid w:val="0026719E"/>
    <w:rsid w:val="0029231E"/>
    <w:rsid w:val="002D1E53"/>
    <w:rsid w:val="003312E0"/>
    <w:rsid w:val="003D01FA"/>
    <w:rsid w:val="00461854"/>
    <w:rsid w:val="0049455B"/>
    <w:rsid w:val="00523BF6"/>
    <w:rsid w:val="00554717"/>
    <w:rsid w:val="005B142F"/>
    <w:rsid w:val="006454DB"/>
    <w:rsid w:val="00853B95"/>
    <w:rsid w:val="00867E58"/>
    <w:rsid w:val="008874F0"/>
    <w:rsid w:val="008B04B4"/>
    <w:rsid w:val="009D27E5"/>
    <w:rsid w:val="009D41E3"/>
    <w:rsid w:val="00AB5276"/>
    <w:rsid w:val="00AB771E"/>
    <w:rsid w:val="00AF6602"/>
    <w:rsid w:val="00B045CC"/>
    <w:rsid w:val="00B125E7"/>
    <w:rsid w:val="00B32796"/>
    <w:rsid w:val="00B5036F"/>
    <w:rsid w:val="00B92E7C"/>
    <w:rsid w:val="00BC205F"/>
    <w:rsid w:val="00BD5953"/>
    <w:rsid w:val="00C5721A"/>
    <w:rsid w:val="00C85964"/>
    <w:rsid w:val="00C86307"/>
    <w:rsid w:val="00CA178C"/>
    <w:rsid w:val="00CB6540"/>
    <w:rsid w:val="00D05C8B"/>
    <w:rsid w:val="00D267F4"/>
    <w:rsid w:val="00D31FF3"/>
    <w:rsid w:val="00E24945"/>
    <w:rsid w:val="00EB1646"/>
    <w:rsid w:val="00EB6757"/>
    <w:rsid w:val="00EC28D7"/>
    <w:rsid w:val="00EF0FB6"/>
    <w:rsid w:val="00EF4910"/>
    <w:rsid w:val="00EF4F85"/>
    <w:rsid w:val="00F4717C"/>
    <w:rsid w:val="00FC1787"/>
    <w:rsid w:val="30FB18D7"/>
    <w:rsid w:val="4A390934"/>
    <w:rsid w:val="4C9432C6"/>
    <w:rsid w:val="548F5DFF"/>
    <w:rsid w:val="622C1F2B"/>
    <w:rsid w:val="7EE6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Обычный (веб)1"/>
    <w:basedOn w:val="1"/>
    <w:semiHidden/>
    <w:qFormat/>
    <w:uiPriority w:val="0"/>
    <w:pPr>
      <w:spacing w:before="100" w:beforeAutospacing="1" w:after="100" w:afterAutospacing="1" w:line="256" w:lineRule="auto"/>
    </w:pPr>
    <w:rPr>
      <w:rFonts w:ascii="Calibri" w:hAnsi="Calibri" w:eastAsia="Times New Roman" w:cs="Times New Roman"/>
      <w:kern w:val="0"/>
      <w:sz w:val="24"/>
      <w:szCs w:val="24"/>
      <w:lang w:eastAsia="ru-RU"/>
      <w14:ligatures w14:val="none"/>
    </w:rPr>
  </w:style>
  <w:style w:type="paragraph" w:styleId="7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1046</Words>
  <Characters>5966</Characters>
  <Lines>49</Lines>
  <Paragraphs>13</Paragraphs>
  <TotalTime>537</TotalTime>
  <ScaleCrop>false</ScaleCrop>
  <LinksUpToDate>false</LinksUpToDate>
  <CharactersWithSpaces>6999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2025-12-14T11:40:00Z</dcterms:created>
  <dc:creator>валентина стрельцова</dc:creator>
  <cp:lastModifiedBy>Валя</cp:lastModifiedBy>
  <cp:lastPrinted>2026-02-03T06:38:00Z</cp:lastPrinted>
  <dcterms:modified xsi:type="dcterms:W3CDTF">2026-02-07T18:07:36Z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CBB2EE5861D445B7A183F057D39B9E2C_13</vt:lpwstr>
  </property>
</Properties>
</file>