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B4865" w14:textId="35224AA2" w:rsidR="003E6D86" w:rsidRPr="00B23AB2" w:rsidRDefault="003E6D86" w:rsidP="007C66F7">
      <w:pPr>
        <w:shd w:val="clear" w:color="auto" w:fill="FFFFFF"/>
        <w:spacing w:after="100" w:afterAutospacing="1"/>
        <w:jc w:val="center"/>
        <w:rPr>
          <w:rFonts w:ascii="Times New Roman" w:eastAsia="Times New Roman" w:hAnsi="Times New Roman" w:cs="Times New Roman"/>
          <w:b/>
          <w:bCs/>
          <w:color w:val="000000" w:themeColor="text1"/>
          <w:sz w:val="28"/>
          <w:szCs w:val="28"/>
          <w:lang w:eastAsia="ru-RU"/>
        </w:rPr>
      </w:pPr>
      <w:r w:rsidRPr="00B23AB2">
        <w:rPr>
          <w:rFonts w:ascii="Times New Roman" w:eastAsia="Times New Roman" w:hAnsi="Times New Roman" w:cs="Times New Roman"/>
          <w:b/>
          <w:bCs/>
          <w:color w:val="000000" w:themeColor="text1"/>
          <w:sz w:val="28"/>
          <w:szCs w:val="28"/>
          <w:lang w:eastAsia="ru-RU"/>
        </w:rPr>
        <w:t>АРТ-ДИЗАЙН БЫТОВОЙ СРЕДЫ КАК МЕТОД ФОРМИРОВАНИЯ ПРОПРИОЦЕПТИВНОЙ УВЕРЕННОСТИ И АВТОНОМИИ У ДЕТЕЙ МЛАДШЕГО ШКОЛЬНОГО ВОЗРАСТА С УМСТВЕННОЙ ОТСТАЛОСТЬЮ</w:t>
      </w:r>
    </w:p>
    <w:p w14:paraId="722BE649" w14:textId="1C295C27" w:rsidR="00E82575" w:rsidRPr="00E82575" w:rsidRDefault="00E97DE9" w:rsidP="007C66F7">
      <w:pPr>
        <w:pStyle w:val="a3"/>
        <w:spacing w:before="0" w:beforeAutospacing="0" w:after="0" w:afterAutospacing="0"/>
        <w:jc w:val="center"/>
        <w:rPr>
          <w:b/>
          <w:bCs/>
          <w:i/>
          <w:iCs/>
          <w:color w:val="000000" w:themeColor="text1"/>
          <w:sz w:val="28"/>
          <w:szCs w:val="28"/>
        </w:rPr>
      </w:pPr>
      <w:r w:rsidRPr="00200382">
        <w:rPr>
          <w:b/>
          <w:bCs/>
          <w:i/>
          <w:iCs/>
          <w:color w:val="000000" w:themeColor="text1"/>
          <w:sz w:val="28"/>
          <w:szCs w:val="28"/>
        </w:rPr>
        <w:t xml:space="preserve">Магистрант 1 курса: </w:t>
      </w:r>
      <w:r w:rsidR="00B23AB2" w:rsidRPr="00200382">
        <w:rPr>
          <w:b/>
          <w:bCs/>
          <w:i/>
          <w:iCs/>
          <w:color w:val="000000" w:themeColor="text1"/>
          <w:sz w:val="28"/>
          <w:szCs w:val="28"/>
        </w:rPr>
        <w:t>М. Д.</w:t>
      </w:r>
      <w:r w:rsidR="001B2DDB" w:rsidRPr="00200382">
        <w:rPr>
          <w:b/>
          <w:bCs/>
          <w:i/>
          <w:iCs/>
          <w:color w:val="000000" w:themeColor="text1"/>
          <w:sz w:val="28"/>
          <w:szCs w:val="28"/>
        </w:rPr>
        <w:t xml:space="preserve"> Харченко</w:t>
      </w:r>
    </w:p>
    <w:p w14:paraId="26700029" w14:textId="766684E5" w:rsidR="00E82575" w:rsidRPr="00E82575" w:rsidRDefault="00E82575" w:rsidP="007C66F7">
      <w:pPr>
        <w:jc w:val="center"/>
        <w:rPr>
          <w:rFonts w:ascii="Times New Roman" w:eastAsia="Times New Roman" w:hAnsi="Times New Roman" w:cs="Times New Roman"/>
          <w:b/>
          <w:bCs/>
          <w:i/>
          <w:iCs/>
          <w:color w:val="000000" w:themeColor="text1"/>
          <w:sz w:val="28"/>
          <w:szCs w:val="28"/>
          <w:lang w:eastAsia="ru-RU"/>
        </w:rPr>
      </w:pPr>
      <w:proofErr w:type="spellStart"/>
      <w:r w:rsidRPr="00E82575">
        <w:rPr>
          <w:rFonts w:ascii="Times New Roman" w:eastAsia="Times New Roman" w:hAnsi="Times New Roman" w:cs="Times New Roman"/>
          <w:b/>
          <w:bCs/>
          <w:i/>
          <w:iCs/>
          <w:color w:val="000000" w:themeColor="text1"/>
          <w:sz w:val="28"/>
          <w:szCs w:val="28"/>
          <w:lang w:eastAsia="ru-RU"/>
        </w:rPr>
        <w:t>Научныи</w:t>
      </w:r>
      <w:proofErr w:type="spellEnd"/>
      <w:r w:rsidRPr="00E82575">
        <w:rPr>
          <w:rFonts w:ascii="Times New Roman" w:eastAsia="Times New Roman" w:hAnsi="Times New Roman" w:cs="Times New Roman"/>
          <w:b/>
          <w:bCs/>
          <w:i/>
          <w:iCs/>
          <w:color w:val="000000" w:themeColor="text1"/>
          <w:sz w:val="28"/>
          <w:szCs w:val="28"/>
          <w:lang w:eastAsia="ru-RU"/>
        </w:rPr>
        <w:t xml:space="preserve">̆ руководитель: </w:t>
      </w:r>
      <w:r w:rsidRPr="00200382">
        <w:rPr>
          <w:rFonts w:ascii="Times New Roman" w:eastAsia="Times New Roman" w:hAnsi="Times New Roman" w:cs="Times New Roman"/>
          <w:b/>
          <w:bCs/>
          <w:i/>
          <w:iCs/>
          <w:color w:val="000000" w:themeColor="text1"/>
          <w:sz w:val="28"/>
          <w:szCs w:val="28"/>
          <w:lang w:eastAsia="ru-RU"/>
        </w:rPr>
        <w:t>Р.Н. Досаева</w:t>
      </w:r>
      <w:r w:rsidRPr="00E82575">
        <w:rPr>
          <w:rFonts w:ascii="Times New Roman" w:eastAsia="Times New Roman" w:hAnsi="Times New Roman" w:cs="Times New Roman"/>
          <w:b/>
          <w:bCs/>
          <w:i/>
          <w:iCs/>
          <w:color w:val="000000" w:themeColor="text1"/>
          <w:sz w:val="28"/>
          <w:szCs w:val="28"/>
          <w:lang w:eastAsia="ru-RU"/>
        </w:rPr>
        <w:t xml:space="preserve">, </w:t>
      </w:r>
      <w:proofErr w:type="spellStart"/>
      <w:r w:rsidRPr="00200382">
        <w:rPr>
          <w:rFonts w:ascii="Times New Roman" w:eastAsia="Times New Roman" w:hAnsi="Times New Roman" w:cs="Times New Roman"/>
          <w:b/>
          <w:bCs/>
          <w:i/>
          <w:iCs/>
          <w:color w:val="000000" w:themeColor="text1"/>
          <w:sz w:val="28"/>
          <w:szCs w:val="28"/>
          <w:lang w:eastAsia="ru-RU"/>
        </w:rPr>
        <w:t>к</w:t>
      </w:r>
      <w:r w:rsidRPr="00E82575">
        <w:rPr>
          <w:rFonts w:ascii="Times New Roman" w:eastAsia="Times New Roman" w:hAnsi="Times New Roman" w:cs="Times New Roman"/>
          <w:b/>
          <w:bCs/>
          <w:i/>
          <w:iCs/>
          <w:color w:val="000000" w:themeColor="text1"/>
          <w:sz w:val="28"/>
          <w:szCs w:val="28"/>
          <w:lang w:eastAsia="ru-RU"/>
        </w:rPr>
        <w:t>.п.н</w:t>
      </w:r>
      <w:proofErr w:type="spellEnd"/>
      <w:r w:rsidRPr="00E82575">
        <w:rPr>
          <w:rFonts w:ascii="Times New Roman" w:eastAsia="Times New Roman" w:hAnsi="Times New Roman" w:cs="Times New Roman"/>
          <w:b/>
          <w:bCs/>
          <w:i/>
          <w:iCs/>
          <w:color w:val="000000" w:themeColor="text1"/>
          <w:sz w:val="28"/>
          <w:szCs w:val="28"/>
          <w:lang w:eastAsia="ru-RU"/>
        </w:rPr>
        <w:t>.,</w:t>
      </w:r>
    </w:p>
    <w:p w14:paraId="203D6946" w14:textId="55417AE4" w:rsidR="00E82575" w:rsidRPr="00E82575" w:rsidRDefault="00E82575" w:rsidP="007C66F7">
      <w:pPr>
        <w:jc w:val="center"/>
        <w:rPr>
          <w:rFonts w:ascii="Times New Roman" w:eastAsia="Times New Roman" w:hAnsi="Times New Roman" w:cs="Times New Roman"/>
          <w:i/>
          <w:iCs/>
          <w:color w:val="000000" w:themeColor="text1"/>
          <w:sz w:val="28"/>
          <w:szCs w:val="28"/>
          <w:lang w:eastAsia="ru-RU"/>
        </w:rPr>
      </w:pPr>
      <w:r w:rsidRPr="00E82575">
        <w:rPr>
          <w:rFonts w:ascii="Times New Roman" w:eastAsia="Times New Roman" w:hAnsi="Times New Roman" w:cs="Times New Roman"/>
          <w:i/>
          <w:iCs/>
          <w:color w:val="000000" w:themeColor="text1"/>
          <w:sz w:val="28"/>
          <w:szCs w:val="28"/>
          <w:lang w:eastAsia="ru-RU"/>
        </w:rPr>
        <w:t>ФГБОУ ВО «</w:t>
      </w:r>
      <w:proofErr w:type="spellStart"/>
      <w:r w:rsidRPr="00E82575">
        <w:rPr>
          <w:rFonts w:ascii="Times New Roman" w:eastAsia="Times New Roman" w:hAnsi="Times New Roman" w:cs="Times New Roman"/>
          <w:i/>
          <w:iCs/>
          <w:color w:val="000000" w:themeColor="text1"/>
          <w:sz w:val="28"/>
          <w:szCs w:val="28"/>
          <w:lang w:eastAsia="ru-RU"/>
        </w:rPr>
        <w:t>Астраханскии</w:t>
      </w:r>
      <w:proofErr w:type="spellEnd"/>
      <w:r w:rsidRPr="00E82575">
        <w:rPr>
          <w:rFonts w:ascii="Times New Roman" w:eastAsia="Times New Roman" w:hAnsi="Times New Roman" w:cs="Times New Roman"/>
          <w:i/>
          <w:iCs/>
          <w:color w:val="000000" w:themeColor="text1"/>
          <w:sz w:val="28"/>
          <w:szCs w:val="28"/>
          <w:lang w:eastAsia="ru-RU"/>
        </w:rPr>
        <w:t xml:space="preserve">̆ </w:t>
      </w:r>
      <w:proofErr w:type="spellStart"/>
      <w:r w:rsidRPr="00E82575">
        <w:rPr>
          <w:rFonts w:ascii="Times New Roman" w:eastAsia="Times New Roman" w:hAnsi="Times New Roman" w:cs="Times New Roman"/>
          <w:i/>
          <w:iCs/>
          <w:color w:val="000000" w:themeColor="text1"/>
          <w:sz w:val="28"/>
          <w:szCs w:val="28"/>
          <w:lang w:eastAsia="ru-RU"/>
        </w:rPr>
        <w:t>государственныи</w:t>
      </w:r>
      <w:proofErr w:type="spellEnd"/>
      <w:r w:rsidRPr="00E82575">
        <w:rPr>
          <w:rFonts w:ascii="Times New Roman" w:eastAsia="Times New Roman" w:hAnsi="Times New Roman" w:cs="Times New Roman"/>
          <w:i/>
          <w:iCs/>
          <w:color w:val="000000" w:themeColor="text1"/>
          <w:sz w:val="28"/>
          <w:szCs w:val="28"/>
          <w:lang w:eastAsia="ru-RU"/>
        </w:rPr>
        <w:t>̆ университет им. В.Н. Татищева»,</w:t>
      </w:r>
    </w:p>
    <w:p w14:paraId="6EFC64F7" w14:textId="4C144EE0" w:rsidR="00E82575" w:rsidRPr="00E82575" w:rsidRDefault="00E82575" w:rsidP="007C66F7">
      <w:pPr>
        <w:jc w:val="center"/>
        <w:rPr>
          <w:rFonts w:ascii="Times New Roman" w:eastAsia="Times New Roman" w:hAnsi="Times New Roman" w:cs="Times New Roman"/>
          <w:i/>
          <w:iCs/>
          <w:color w:val="000000" w:themeColor="text1"/>
          <w:sz w:val="28"/>
          <w:szCs w:val="28"/>
          <w:lang w:eastAsia="ru-RU"/>
        </w:rPr>
      </w:pPr>
      <w:r w:rsidRPr="00E82575">
        <w:rPr>
          <w:rFonts w:ascii="Times New Roman" w:eastAsia="Times New Roman" w:hAnsi="Times New Roman" w:cs="Times New Roman"/>
          <w:i/>
          <w:iCs/>
          <w:color w:val="000000" w:themeColor="text1"/>
          <w:sz w:val="28"/>
          <w:szCs w:val="28"/>
          <w:lang w:eastAsia="ru-RU"/>
        </w:rPr>
        <w:t>Астрахань, Россия</w:t>
      </w:r>
    </w:p>
    <w:p w14:paraId="2B791FF1" w14:textId="77777777" w:rsidR="007C66F7" w:rsidRDefault="007C66F7" w:rsidP="007C66F7">
      <w:pPr>
        <w:shd w:val="clear" w:color="auto" w:fill="FFFFFF"/>
        <w:spacing w:before="100" w:beforeAutospacing="1" w:after="100" w:afterAutospacing="1"/>
        <w:ind w:firstLine="709"/>
        <w:jc w:val="both"/>
        <w:outlineLvl w:val="2"/>
        <w:rPr>
          <w:rFonts w:ascii="Times New Roman" w:eastAsia="Times New Roman" w:hAnsi="Times New Roman" w:cs="Times New Roman"/>
          <w:b/>
          <w:bCs/>
          <w:i/>
          <w:color w:val="000000" w:themeColor="text1"/>
          <w:lang w:eastAsia="ru-RU"/>
        </w:rPr>
      </w:pPr>
    </w:p>
    <w:p w14:paraId="38BF1DD4" w14:textId="0CB589EE" w:rsidR="003E6D86" w:rsidRPr="00E97DE9" w:rsidRDefault="003E6D86" w:rsidP="007C66F7">
      <w:pPr>
        <w:shd w:val="clear" w:color="auto" w:fill="FFFFFF"/>
        <w:spacing w:before="100" w:beforeAutospacing="1" w:after="100" w:afterAutospacing="1"/>
        <w:ind w:firstLine="709"/>
        <w:jc w:val="both"/>
        <w:outlineLvl w:val="2"/>
        <w:rPr>
          <w:rFonts w:ascii="Times New Roman" w:eastAsia="Times New Roman" w:hAnsi="Times New Roman" w:cs="Times New Roman"/>
          <w:b/>
          <w:bCs/>
          <w:i/>
          <w:color w:val="000000" w:themeColor="text1"/>
          <w:lang w:eastAsia="ru-RU"/>
        </w:rPr>
      </w:pPr>
      <w:r w:rsidRPr="00E97DE9">
        <w:rPr>
          <w:rFonts w:ascii="Times New Roman" w:eastAsia="Times New Roman" w:hAnsi="Times New Roman" w:cs="Times New Roman"/>
          <w:b/>
          <w:bCs/>
          <w:i/>
          <w:color w:val="000000" w:themeColor="text1"/>
          <w:lang w:eastAsia="ru-RU"/>
        </w:rPr>
        <w:t>Аннотация</w:t>
      </w:r>
      <w:r w:rsidR="00F605AE" w:rsidRPr="00E97DE9">
        <w:rPr>
          <w:rFonts w:ascii="Times New Roman" w:eastAsia="Times New Roman" w:hAnsi="Times New Roman" w:cs="Times New Roman"/>
          <w:b/>
          <w:bCs/>
          <w:i/>
          <w:color w:val="000000" w:themeColor="text1"/>
          <w:lang w:eastAsia="ru-RU"/>
        </w:rPr>
        <w:t>:</w:t>
      </w:r>
    </w:p>
    <w:p w14:paraId="5F8468DD" w14:textId="77777777" w:rsidR="000E4EA1" w:rsidRPr="0020038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bCs/>
          <w:i/>
          <w:color w:val="000000" w:themeColor="text1"/>
          <w:lang w:eastAsia="ru-RU"/>
        </w:rPr>
      </w:pPr>
      <w:r w:rsidRPr="00200382">
        <w:rPr>
          <w:rFonts w:ascii="Times New Roman" w:eastAsia="Times New Roman" w:hAnsi="Times New Roman" w:cs="Times New Roman"/>
          <w:bCs/>
          <w:i/>
          <w:color w:val="000000" w:themeColor="text1"/>
          <w:lang w:eastAsia="ru-RU"/>
        </w:rPr>
        <w:t>В статье рассматривается арт-дизайн бытовой (предметно-пространственной) среды как психолого-педагогический метод формирования проприоцептивной уверенности и поведенческой автономии у детей младшего школьного возраста с умственной отсталостью. Теоретический анализ отечественных и зарубежных подходов показывает, что для данной категории детей характерны трудности сенсомоторной интеграции, моторного планирования, регуляции мышечного тонуса и постурального контроля, что снижает уверенность в движении, ограничивает инициативу и самостоятельность в повседневных действиях. Арт-дизайн интерпретируется как целенаправленное проектирование доступной, эмоционально поддерживающей и телесно «подсказывающей» среды (зонирование, маркировка, фактурно-тактильные и весовые опоры, визуально-пространственные ориентиры), включающее ребенка в соавторство. Обосновываются механизмы влияния: усиление проприоцептивной обратной связи через «тяжелую работу» и сопротивление, снижение неопределенности пространства за счет стабильных ориентиров, рост чувства контроля и компетентности через выбор и результативные действия в быту. Предложены ориентиры организации коррекционно-развивающей работы на базе класса/группы продленного дня и дома, нацеленной на функциональные навыки самообслуживания и учебной деятельности.</w:t>
      </w:r>
    </w:p>
    <w:p w14:paraId="1713896A" w14:textId="349BFEA2" w:rsidR="001B2DDB" w:rsidRPr="00E97DE9" w:rsidRDefault="003E6D86" w:rsidP="007C66F7">
      <w:pPr>
        <w:shd w:val="clear" w:color="auto" w:fill="FFFFFF"/>
        <w:spacing w:before="100" w:beforeAutospacing="1" w:after="100" w:afterAutospacing="1"/>
        <w:ind w:firstLine="709"/>
        <w:jc w:val="both"/>
        <w:rPr>
          <w:rFonts w:ascii="Times New Roman" w:eastAsia="Times New Roman" w:hAnsi="Times New Roman" w:cs="Times New Roman"/>
          <w:i/>
          <w:color w:val="000000" w:themeColor="text1"/>
          <w:lang w:eastAsia="ru-RU"/>
        </w:rPr>
      </w:pPr>
      <w:r w:rsidRPr="00E97DE9">
        <w:rPr>
          <w:rFonts w:ascii="Times New Roman" w:eastAsia="Times New Roman" w:hAnsi="Times New Roman" w:cs="Times New Roman"/>
          <w:b/>
          <w:bCs/>
          <w:i/>
          <w:color w:val="000000" w:themeColor="text1"/>
          <w:lang w:eastAsia="ru-RU"/>
        </w:rPr>
        <w:t>Ключевые слова:</w:t>
      </w:r>
    </w:p>
    <w:p w14:paraId="5EBC1CF3" w14:textId="71AF8A0A" w:rsidR="00F605AE" w:rsidRPr="00E97DE9" w:rsidRDefault="007B0404" w:rsidP="007C66F7">
      <w:pPr>
        <w:shd w:val="clear" w:color="auto" w:fill="FFFFFF"/>
        <w:spacing w:before="100" w:beforeAutospacing="1" w:after="100" w:afterAutospacing="1"/>
        <w:ind w:firstLine="709"/>
        <w:jc w:val="both"/>
        <w:rPr>
          <w:rFonts w:ascii="Times New Roman" w:eastAsia="Times New Roman" w:hAnsi="Times New Roman" w:cs="Times New Roman"/>
          <w:i/>
          <w:color w:val="000000" w:themeColor="text1"/>
          <w:lang w:eastAsia="ru-RU"/>
        </w:rPr>
      </w:pPr>
      <w:r w:rsidRPr="00E97DE9">
        <w:rPr>
          <w:rFonts w:ascii="Times New Roman" w:eastAsia="Times New Roman" w:hAnsi="Times New Roman" w:cs="Times New Roman"/>
          <w:i/>
          <w:color w:val="000000" w:themeColor="text1"/>
          <w:lang w:eastAsia="ru-RU"/>
        </w:rPr>
        <w:t>арт-дизайн, предметно-пространственная среда, бытовая среда, проприоцепция, проприоцептивная уверенность, сенсорная интеграция, автономия, младший школьный возраст, умственная отсталость, специальная педагогика.</w:t>
      </w:r>
    </w:p>
    <w:p w14:paraId="35C377B0" w14:textId="77777777" w:rsidR="007B0404" w:rsidRPr="00B23AB2" w:rsidRDefault="007B0404" w:rsidP="00B92826">
      <w:pPr>
        <w:shd w:val="clear" w:color="auto" w:fill="FFFFFF"/>
        <w:spacing w:before="20" w:after="20"/>
        <w:jc w:val="center"/>
        <w:rPr>
          <w:rFonts w:ascii="Times New Roman" w:eastAsia="Times New Roman" w:hAnsi="Times New Roman" w:cs="Times New Roman"/>
          <w:color w:val="000000" w:themeColor="text1"/>
          <w:sz w:val="28"/>
          <w:szCs w:val="28"/>
          <w:lang w:val="en-US" w:eastAsia="ru-RU"/>
        </w:rPr>
      </w:pPr>
      <w:r w:rsidRPr="00B23AB2">
        <w:rPr>
          <w:rFonts w:ascii="Times New Roman" w:eastAsia="Times New Roman" w:hAnsi="Times New Roman" w:cs="Times New Roman"/>
          <w:b/>
          <w:bCs/>
          <w:color w:val="000000" w:themeColor="text1"/>
          <w:sz w:val="28"/>
          <w:szCs w:val="28"/>
          <w:lang w:val="en-US" w:eastAsia="ru-RU"/>
        </w:rPr>
        <w:t>ART DESIGN OF THE EVERYDAY ENVIRONMENT AS A METHOD FOR DEVELOPING PROPRIOCEPTIVE CONFIDENCE AND AUTONOMY IN PRIMARY SCHOOL CHILDREN WITH INTELLECTUAL DISABILITY</w:t>
      </w:r>
    </w:p>
    <w:p w14:paraId="6657DE19" w14:textId="5411C7F2" w:rsidR="00200382" w:rsidRDefault="007C66F7" w:rsidP="00B92826">
      <w:pPr>
        <w:pStyle w:val="a3"/>
        <w:spacing w:before="20" w:beforeAutospacing="0" w:after="20" w:afterAutospacing="0"/>
        <w:jc w:val="center"/>
        <w:rPr>
          <w:i/>
          <w:iCs/>
          <w:color w:val="000000" w:themeColor="text1"/>
          <w:sz w:val="28"/>
          <w:szCs w:val="28"/>
          <w:lang w:val="en-US"/>
        </w:rPr>
      </w:pPr>
      <w:r>
        <w:rPr>
          <w:i/>
          <w:iCs/>
          <w:color w:val="000000" w:themeColor="text1"/>
          <w:sz w:val="28"/>
          <w:szCs w:val="28"/>
          <w:lang w:val="en-US"/>
        </w:rPr>
        <w:t>F</w:t>
      </w:r>
      <w:r w:rsidRPr="007C66F7">
        <w:rPr>
          <w:i/>
          <w:iCs/>
          <w:color w:val="000000" w:themeColor="text1"/>
          <w:sz w:val="28"/>
          <w:szCs w:val="28"/>
          <w:lang w:val="en-US"/>
        </w:rPr>
        <w:t>irst-year master's studen</w:t>
      </w:r>
      <w:r>
        <w:rPr>
          <w:i/>
          <w:iCs/>
          <w:color w:val="000000" w:themeColor="text1"/>
          <w:sz w:val="28"/>
          <w:szCs w:val="28"/>
          <w:lang w:val="en-US"/>
        </w:rPr>
        <w:t>t:</w:t>
      </w:r>
      <w:r w:rsidRPr="007C66F7">
        <w:rPr>
          <w:i/>
          <w:iCs/>
          <w:color w:val="000000" w:themeColor="text1"/>
          <w:sz w:val="28"/>
          <w:szCs w:val="28"/>
          <w:lang w:val="en-US"/>
        </w:rPr>
        <w:t xml:space="preserve"> </w:t>
      </w:r>
      <w:r w:rsidR="00240F0F" w:rsidRPr="00B23AB2">
        <w:rPr>
          <w:i/>
          <w:iCs/>
          <w:color w:val="000000" w:themeColor="text1"/>
          <w:sz w:val="28"/>
          <w:szCs w:val="28"/>
          <w:lang w:val="en-US"/>
        </w:rPr>
        <w:t>M. Kharchenko</w:t>
      </w:r>
    </w:p>
    <w:p w14:paraId="480E7754" w14:textId="04C72DF2" w:rsidR="00200382" w:rsidRDefault="00200382" w:rsidP="00B92826">
      <w:pPr>
        <w:pStyle w:val="a3"/>
        <w:spacing w:before="20" w:beforeAutospacing="0" w:after="20" w:afterAutospacing="0"/>
        <w:jc w:val="center"/>
        <w:rPr>
          <w:i/>
          <w:iCs/>
          <w:color w:val="000000" w:themeColor="text1"/>
          <w:sz w:val="28"/>
          <w:szCs w:val="28"/>
          <w:lang w:val="en-US"/>
        </w:rPr>
      </w:pPr>
      <w:r w:rsidRPr="00200382">
        <w:rPr>
          <w:i/>
          <w:iCs/>
          <w:color w:val="000000" w:themeColor="text1"/>
          <w:sz w:val="28"/>
          <w:szCs w:val="28"/>
          <w:lang w:val="en-US"/>
        </w:rPr>
        <w:t>Supervisor: R. Dosayeva, Candidate of Pedagogical Sciences</w:t>
      </w:r>
    </w:p>
    <w:p w14:paraId="6A53B2E2" w14:textId="53F062E3" w:rsidR="00240F0F" w:rsidRPr="00B23AB2" w:rsidRDefault="00240F0F" w:rsidP="00B92826">
      <w:pPr>
        <w:pStyle w:val="a3"/>
        <w:spacing w:before="20" w:beforeAutospacing="0" w:after="20" w:afterAutospacing="0"/>
        <w:jc w:val="center"/>
        <w:rPr>
          <w:i/>
          <w:iCs/>
          <w:color w:val="000000" w:themeColor="text1"/>
          <w:sz w:val="28"/>
          <w:szCs w:val="28"/>
          <w:lang w:val="en-US"/>
        </w:rPr>
      </w:pPr>
      <w:proofErr w:type="spellStart"/>
      <w:r w:rsidRPr="00B23AB2">
        <w:rPr>
          <w:i/>
          <w:iCs/>
          <w:color w:val="000000" w:themeColor="text1"/>
          <w:sz w:val="28"/>
          <w:szCs w:val="28"/>
          <w:lang w:val="en-US"/>
        </w:rPr>
        <w:lastRenderedPageBreak/>
        <w:t>Tatishchev</w:t>
      </w:r>
      <w:proofErr w:type="spellEnd"/>
      <w:r w:rsidRPr="00B23AB2">
        <w:rPr>
          <w:i/>
          <w:iCs/>
          <w:color w:val="000000" w:themeColor="text1"/>
          <w:sz w:val="28"/>
          <w:szCs w:val="28"/>
          <w:lang w:val="en-US"/>
        </w:rPr>
        <w:t xml:space="preserve"> Astrakhan State University,</w:t>
      </w:r>
      <w:r w:rsidRPr="00B23AB2">
        <w:rPr>
          <w:i/>
          <w:iCs/>
          <w:color w:val="000000" w:themeColor="text1"/>
          <w:sz w:val="28"/>
          <w:szCs w:val="28"/>
          <w:lang w:val="en-US"/>
        </w:rPr>
        <w:br/>
        <w:t>Russia, Astrakhan</w:t>
      </w:r>
    </w:p>
    <w:p w14:paraId="020599D3" w14:textId="65E6D899" w:rsidR="007B0404" w:rsidRPr="007C66F7"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i/>
          <w:iCs/>
          <w:color w:val="000000" w:themeColor="text1"/>
          <w:lang w:val="en-US" w:eastAsia="ru-RU"/>
        </w:rPr>
      </w:pPr>
      <w:r w:rsidRPr="00B23AB2">
        <w:rPr>
          <w:rFonts w:ascii="Times New Roman" w:eastAsia="Times New Roman" w:hAnsi="Times New Roman" w:cs="Times New Roman"/>
          <w:b/>
          <w:bCs/>
          <w:i/>
          <w:iCs/>
          <w:color w:val="000000" w:themeColor="text1"/>
          <w:lang w:val="en-US" w:eastAsia="ru-RU"/>
        </w:rPr>
        <w:t>Abstract</w:t>
      </w:r>
      <w:r w:rsidR="00F605AE" w:rsidRPr="00B23AB2">
        <w:rPr>
          <w:rFonts w:ascii="Times New Roman" w:eastAsia="Times New Roman" w:hAnsi="Times New Roman" w:cs="Times New Roman"/>
          <w:b/>
          <w:bCs/>
          <w:i/>
          <w:iCs/>
          <w:color w:val="000000" w:themeColor="text1"/>
          <w:lang w:eastAsia="ru-RU"/>
        </w:rPr>
        <w:t>:</w:t>
      </w:r>
    </w:p>
    <w:p w14:paraId="6DA6A974" w14:textId="1FE3D240"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i/>
          <w:iCs/>
          <w:color w:val="000000" w:themeColor="text1"/>
          <w:lang w:val="en-US" w:eastAsia="ru-RU"/>
        </w:rPr>
      </w:pPr>
      <w:r w:rsidRPr="00B23AB2">
        <w:rPr>
          <w:rFonts w:ascii="Times New Roman" w:eastAsia="Times New Roman" w:hAnsi="Times New Roman" w:cs="Times New Roman"/>
          <w:i/>
          <w:iCs/>
          <w:color w:val="000000" w:themeColor="text1"/>
          <w:lang w:val="en-US" w:eastAsia="ru-RU"/>
        </w:rPr>
        <w:t>The paper examines art design of the everyday (object-spatial) environment as a psychological and pedagogical method for developing proprioceptive confidence and behavioral autonomy in primary school children with intellectual disability. A theoretical review of Russian and international research indicates that this group often demonstrates difficulties in sensorimotor integration, motor planning, muscle tone regulation, and postural control, which reduces movement confidence, initiative, and independence in daily living activities. Art design is interpreted as purposeful designing of an accessible, emotionally supportive, and body-cueing environment (zoning, marking, tactile textures and weighted supports, visual-spatial landmarks) with the child involved as a co-author. The mechanisms of influence are substantiated: enhancement of proprioceptive feedback through “heavy work” and resistance, reduction of spatial uncertainty via stable cues, and increased sense of control and competence through choice and successful everyday actions. Practical guidelines for classroom/after-school and home-based intervention focused on functional self-care and learning routines are presented.</w:t>
      </w:r>
    </w:p>
    <w:p w14:paraId="30253E04" w14:textId="77777777" w:rsidR="007B0404"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i/>
          <w:iCs/>
          <w:color w:val="000000" w:themeColor="text1"/>
          <w:lang w:val="en-US" w:eastAsia="ru-RU"/>
        </w:rPr>
      </w:pPr>
      <w:r w:rsidRPr="00B23AB2">
        <w:rPr>
          <w:rFonts w:ascii="Times New Roman" w:eastAsia="Times New Roman" w:hAnsi="Times New Roman" w:cs="Times New Roman"/>
          <w:b/>
          <w:bCs/>
          <w:i/>
          <w:iCs/>
          <w:color w:val="000000" w:themeColor="text1"/>
          <w:lang w:val="en-US" w:eastAsia="ru-RU"/>
        </w:rPr>
        <w:t>Keywords:</w:t>
      </w:r>
    </w:p>
    <w:p w14:paraId="2DBFC9D1" w14:textId="728DB400"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i/>
          <w:iCs/>
          <w:color w:val="000000" w:themeColor="text1"/>
          <w:lang w:val="en-US" w:eastAsia="ru-RU"/>
        </w:rPr>
      </w:pPr>
      <w:r w:rsidRPr="00B23AB2">
        <w:rPr>
          <w:rFonts w:ascii="Times New Roman" w:eastAsia="Times New Roman" w:hAnsi="Times New Roman" w:cs="Times New Roman"/>
          <w:i/>
          <w:iCs/>
          <w:color w:val="000000" w:themeColor="text1"/>
          <w:lang w:val="en-US" w:eastAsia="ru-RU"/>
        </w:rPr>
        <w:t>art design, object-spatial environment, everyday environment, proprioception, proprioceptive confidence, sensory integration, autonomy, primary school age, intellectual disability, special education.</w:t>
      </w:r>
    </w:p>
    <w:p w14:paraId="413F4FBF" w14:textId="77777777" w:rsidR="008A1A09" w:rsidRPr="00B23AB2" w:rsidRDefault="008A1A09" w:rsidP="007C66F7">
      <w:pPr>
        <w:shd w:val="clear" w:color="auto" w:fill="FFFFFF"/>
        <w:spacing w:before="100" w:beforeAutospacing="1" w:after="100" w:afterAutospacing="1"/>
        <w:ind w:firstLine="709"/>
        <w:jc w:val="both"/>
        <w:rPr>
          <w:rFonts w:ascii="Times New Roman" w:eastAsia="Times New Roman" w:hAnsi="Times New Roman" w:cs="Times New Roman"/>
          <w:i/>
          <w:iCs/>
          <w:color w:val="000000" w:themeColor="text1"/>
          <w:sz w:val="28"/>
          <w:szCs w:val="28"/>
          <w:lang w:val="en-US" w:eastAsia="ru-RU"/>
        </w:rPr>
      </w:pPr>
    </w:p>
    <w:p w14:paraId="014FAF5D"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Вопрос формирования автономии у детей младшего школьного возраста с умственной отсталостью (далее — УО) в современной дефектологии соотносится с задачами социализации и повышения качества жизни, поскольку самостоятельность в быту и учебных рутинах снижает зависимость от взрослого и расширяет участие ребенка в социальной практике. Л. С. Выготский, анализируя развитие ребенка с нарушениями, подчеркивал, что решающее значение имеет не сам дефект, а «социальные последствия» и условия, в которых ребенок осваивает культурные способы действия [1]. По мнению Д. Б. Эльконина, именно организация ведущих для возраста форм деятельности определяет развитие произвольности и регуляции поведения, а значит — готовность ребенка к самостоятельным действиям в системе школьных требований [13]. В прикладной плоскости это означает, что педагогическое воздействие должно быть направлено не только на тренировку отдельных навыков, но и на создание такой среды, где самостоятельные действия становятся доступными и устойчивыми.</w:t>
      </w:r>
    </w:p>
    <w:p w14:paraId="69073702"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 xml:space="preserve">Исследовав работы Л. М. Шипицыной, можно отметить, что у детей с интеллектуальными нарушениями часто наблюдаются замедленность формирования произвольной регуляции, трудности программирования и </w:t>
      </w:r>
      <w:r w:rsidRPr="00B23AB2">
        <w:rPr>
          <w:rFonts w:ascii="Times New Roman" w:eastAsia="Times New Roman" w:hAnsi="Times New Roman" w:cs="Times New Roman"/>
          <w:color w:val="000000" w:themeColor="text1"/>
          <w:sz w:val="28"/>
          <w:szCs w:val="28"/>
          <w:lang w:eastAsia="ru-RU"/>
        </w:rPr>
        <w:lastRenderedPageBreak/>
        <w:t>контроля действий, недостаточность обобщения способов решения практических задач, что приводит к ситуативности навыков самообслуживания и повышенной зависимости от помощи взрослого [10]. Н. Н. Малофеев, рассматривая эволюцию специального образования, указывает на необходимость перехода от модели «содержательного обучения» к модели поддержки жизненных компетенций, среди которых автономия в быту занимает ключевое место [5]. По мнению М. М. Семаго и Н. Я. Семаго, успешность формирования жизненных навыков у детей с ОВЗ определяется согласованностью требований среды и возможностями ребенка, а также структурированностью пространства и понятностью правил, закрепленных в предметной организации [9].</w:t>
      </w:r>
    </w:p>
    <w:p w14:paraId="54D638B8"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Автономия ребенка в повседневных действиях опирается не только на когнитивные компоненты (понимание инструкции, запоминание последовательности), но и на сенсомоторный фундамент — телесную организованность и уверенность в движении. А. Р. Лурия, описывая функциональные блоки мозга и нейропсихологические механизмы произвольных действий, подчеркивал роль кинестетической (проприоцептивной) афферентации в построении и контроле движений: дефицит кинестетической основы приводит к неточности, «распаду» двигательной программы и трудностям самоконтроля [3]. По мнению А. В. Семенович, в детском возрасте многие учебные и поведенческие трудности оказываются связанными с несформированностью сенсомоторной базы, включая постуральный контроль и праксис; поэтому коррекционная работа должна учитывать телесный уровень регуляции и опираться на действия в пространстве [8].</w:t>
      </w:r>
    </w:p>
    <w:p w14:paraId="394ACCDA" w14:textId="181C0EB2"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Проприоцепци</w:t>
      </w:r>
      <w:r w:rsidR="007B0404" w:rsidRPr="00B23AB2">
        <w:rPr>
          <w:rFonts w:ascii="Times New Roman" w:eastAsia="Times New Roman" w:hAnsi="Times New Roman" w:cs="Times New Roman"/>
          <w:color w:val="000000" w:themeColor="text1"/>
          <w:sz w:val="28"/>
          <w:szCs w:val="28"/>
          <w:lang w:eastAsia="ru-RU"/>
        </w:rPr>
        <w:t>я</w:t>
      </w:r>
      <w:r w:rsidRPr="00B23AB2">
        <w:rPr>
          <w:rFonts w:ascii="Times New Roman" w:eastAsia="Times New Roman" w:hAnsi="Times New Roman" w:cs="Times New Roman"/>
          <w:color w:val="000000" w:themeColor="text1"/>
          <w:sz w:val="28"/>
          <w:szCs w:val="28"/>
          <w:lang w:eastAsia="ru-RU"/>
        </w:rPr>
        <w:t xml:space="preserve"> как система ощущений от мышц, сухожилий и суставов обеспечивает переживание положения тела, дозирование усилия и точность движений. В прикладных исследованиях моторного контроля А. </w:t>
      </w:r>
      <w:proofErr w:type="spellStart"/>
      <w:r w:rsidRPr="00B23AB2">
        <w:rPr>
          <w:rFonts w:ascii="Times New Roman" w:eastAsia="Times New Roman" w:hAnsi="Times New Roman" w:cs="Times New Roman"/>
          <w:color w:val="000000" w:themeColor="text1"/>
          <w:sz w:val="28"/>
          <w:szCs w:val="28"/>
          <w:lang w:eastAsia="ru-RU"/>
        </w:rPr>
        <w:t>Шамвей</w:t>
      </w:r>
      <w:proofErr w:type="spellEnd"/>
      <w:r w:rsidRPr="00B23AB2">
        <w:rPr>
          <w:rFonts w:ascii="Times New Roman" w:eastAsia="Times New Roman" w:hAnsi="Times New Roman" w:cs="Times New Roman"/>
          <w:color w:val="000000" w:themeColor="text1"/>
          <w:sz w:val="28"/>
          <w:szCs w:val="28"/>
          <w:lang w:eastAsia="ru-RU"/>
        </w:rPr>
        <w:noBreakHyphen/>
        <w:t xml:space="preserve">Кук и М. </w:t>
      </w:r>
      <w:proofErr w:type="spellStart"/>
      <w:r w:rsidRPr="00B23AB2">
        <w:rPr>
          <w:rFonts w:ascii="Times New Roman" w:eastAsia="Times New Roman" w:hAnsi="Times New Roman" w:cs="Times New Roman"/>
          <w:color w:val="000000" w:themeColor="text1"/>
          <w:sz w:val="28"/>
          <w:szCs w:val="28"/>
          <w:lang w:eastAsia="ru-RU"/>
        </w:rPr>
        <w:t>Вуллакотт</w:t>
      </w:r>
      <w:proofErr w:type="spellEnd"/>
      <w:r w:rsidRPr="00B23AB2">
        <w:rPr>
          <w:rFonts w:ascii="Times New Roman" w:eastAsia="Times New Roman" w:hAnsi="Times New Roman" w:cs="Times New Roman"/>
          <w:color w:val="000000" w:themeColor="text1"/>
          <w:sz w:val="28"/>
          <w:szCs w:val="28"/>
          <w:lang w:eastAsia="ru-RU"/>
        </w:rPr>
        <w:t xml:space="preserve"> показано, что устойчивость позы и качество координации зависят от интеграции сенсорных источников (проприоцептивного, вестибулярного, зрительного), а дефицит любой из составляющих снижает надежность движения и повышает потребность во внешних опорах [12]. С позиции специальной педагогики это проявляется в том, что ребенок с УО чаще избегает действий, требующих точного нажима (письмо, застегивание), устойчивого равновесия (переодевание стоя), быстрых переключений поз (перемены), что можно описывать как проприоцептивную неуверенность, выражающуюся в осторожности, замедленности, избыточном контроле взрослого или, напротив, в импульсивной «грубой» силе из</w:t>
      </w:r>
      <w:r w:rsidR="00E10700" w:rsidRPr="00B23AB2">
        <w:rPr>
          <w:rFonts w:ascii="Times New Roman" w:eastAsia="Times New Roman" w:hAnsi="Times New Roman" w:cs="Times New Roman"/>
          <w:color w:val="000000" w:themeColor="text1"/>
          <w:sz w:val="28"/>
          <w:szCs w:val="28"/>
          <w:lang w:eastAsia="ru-RU"/>
        </w:rPr>
        <w:t>-</w:t>
      </w:r>
      <w:r w:rsidRPr="00B23AB2">
        <w:rPr>
          <w:rFonts w:ascii="Times New Roman" w:eastAsia="Times New Roman" w:hAnsi="Times New Roman" w:cs="Times New Roman"/>
          <w:color w:val="000000" w:themeColor="text1"/>
          <w:sz w:val="28"/>
          <w:szCs w:val="28"/>
          <w:lang w:eastAsia="ru-RU"/>
        </w:rPr>
        <w:t>за недифференцированного усилия.</w:t>
      </w:r>
    </w:p>
    <w:p w14:paraId="05A19127"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lastRenderedPageBreak/>
        <w:t xml:space="preserve">Значимую рамку для понимания связи </w:t>
      </w:r>
      <w:proofErr w:type="spellStart"/>
      <w:r w:rsidRPr="00B23AB2">
        <w:rPr>
          <w:rFonts w:ascii="Times New Roman" w:eastAsia="Times New Roman" w:hAnsi="Times New Roman" w:cs="Times New Roman"/>
          <w:color w:val="000000" w:themeColor="text1"/>
          <w:sz w:val="28"/>
          <w:szCs w:val="28"/>
          <w:lang w:eastAsia="ru-RU"/>
        </w:rPr>
        <w:t>сенсомоторики</w:t>
      </w:r>
      <w:proofErr w:type="spellEnd"/>
      <w:r w:rsidRPr="00B23AB2">
        <w:rPr>
          <w:rFonts w:ascii="Times New Roman" w:eastAsia="Times New Roman" w:hAnsi="Times New Roman" w:cs="Times New Roman"/>
          <w:color w:val="000000" w:themeColor="text1"/>
          <w:sz w:val="28"/>
          <w:szCs w:val="28"/>
          <w:lang w:eastAsia="ru-RU"/>
        </w:rPr>
        <w:t xml:space="preserve"> и поведения предложила А. Дж. Айрес. По мнению Айрес, нарушения обработки сенсорной информации могут лежать в основе трудностей обучения и адаптивного поведения, а проприоцептивная стимуляция через сопротивление, давление и «тяжелую работу» способствует формированию более организованных адаптивных ответов [11]. Исследовав подход Айрес и сопоставив его с отечественной традицией деятельностного обучения, можно сделать вывод, что проприоцептивная поддержка наиболее результативна тогда, когда включена в осмысленную функциональную деятельность, а не предъявляется ребенку как изолированное упражнение. В этом аспекте идеи П. Я. Гальперина о поэтапном формировании умственных действий и необходимости материализованной ориентировочной основы особенно продуктивны: чем яснее ребенку «что и как делать» в предметной среде, тем больше условий для самостоятельного выполнения действия и переноса навыка [2].</w:t>
      </w:r>
    </w:p>
    <w:p w14:paraId="224A435C"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На основании анализа указанных подходов арт-дизайн бытовой среды можно рассматривать как специальную педагогическую технологию, направленную на одновременное: (1) создание доступной и предсказуемой предметно-пространственной организации; (2) усиление проприоцептивной обратной связи в повседневных действиях; (3) повышение мотивации к самостоятельности через эстетически поддерживающую и «свою» (созданную вместе с ребенком) среду. Под арт-дизайном бытовой среды в данной статье понимается целенаправленное проектирование и художественно-функциональная организация окружения ребенка (в классе, в школе, дома) с использованием средств композиции, цвета, формы, фактуры, маркировки и эргономики для облегчения ориентировки, снижения лишней сенсорной нагрузки и поддержания действий самообслуживания и учебных рутин. По мнению исследователей среды развития, эстетическая упорядоченность и смысловая «</w:t>
      </w:r>
      <w:proofErr w:type="spellStart"/>
      <w:r w:rsidRPr="00B23AB2">
        <w:rPr>
          <w:rFonts w:ascii="Times New Roman" w:eastAsia="Times New Roman" w:hAnsi="Times New Roman" w:cs="Times New Roman"/>
          <w:color w:val="000000" w:themeColor="text1"/>
          <w:sz w:val="28"/>
          <w:szCs w:val="28"/>
          <w:lang w:eastAsia="ru-RU"/>
        </w:rPr>
        <w:t>прочитываемость</w:t>
      </w:r>
      <w:proofErr w:type="spellEnd"/>
      <w:r w:rsidRPr="00B23AB2">
        <w:rPr>
          <w:rFonts w:ascii="Times New Roman" w:eastAsia="Times New Roman" w:hAnsi="Times New Roman" w:cs="Times New Roman"/>
          <w:color w:val="000000" w:themeColor="text1"/>
          <w:sz w:val="28"/>
          <w:szCs w:val="28"/>
          <w:lang w:eastAsia="ru-RU"/>
        </w:rPr>
        <w:t>» пространства снижают хаотичность поведения и повышают способность ребенка следовать правилам, поскольку среда становится внешней опорой регуляции [6].</w:t>
      </w:r>
    </w:p>
    <w:p w14:paraId="1606F11F"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 xml:space="preserve">Важным принципом арт-дизайна является функциональная структурированность: зонирование (учебная зона, зона отдыха, зона самообслуживания), постоянство расположения предметов, контурные или цветовые «места» хранения, пиктограммы последовательности действий. По мнению М. М. Семаго и Н. Я. Семаго, подобные визуально-предметные опоры особенно значимы для детей с трудностями произвольной регуляции: они уменьшают количество вербальных инструкций и переводят контроль в формат «среда подсказывает» [9]. С позиции П. Я. Гальперина такие опоры можно трактовать как материализацию ориентировочной основы </w:t>
      </w:r>
      <w:r w:rsidRPr="00B23AB2">
        <w:rPr>
          <w:rFonts w:ascii="Times New Roman" w:eastAsia="Times New Roman" w:hAnsi="Times New Roman" w:cs="Times New Roman"/>
          <w:color w:val="000000" w:themeColor="text1"/>
          <w:sz w:val="28"/>
          <w:szCs w:val="28"/>
          <w:lang w:eastAsia="ru-RU"/>
        </w:rPr>
        <w:lastRenderedPageBreak/>
        <w:t>действия, благодаря которой ребенок постепенно осваивает алгоритм и уменьшает потребность во внешней помощи [2]. В результате автономия возрастает не за счет «усиления требовательности», а за счет перестройки условий выполнения действия.</w:t>
      </w:r>
    </w:p>
    <w:p w14:paraId="235CFDCB"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Второй принцип — проприоцептивная насыщенность бытовых действий через безопасные элементы сопротивления и давления. А. Дж. Айрес связывала проприоцептивный вход с организацией движений и общим уровнем «собранности» тела [11]. В практико-ориентированном арт-дизайне это реализуется через предметы и материалы, которые требуют дозированного усилия и дают выраженную обратную связь: плотные крышки контейнеров, прищепки и клипсы, липучки с сопротивлением, эластичные ленты, небольшие лейки, тканевые мешочки для переноса, щетки и губки для протирания поверхности, коврики с различной фактурой у «бытовой станции» (например, зона мытья рук или уборки). По мнению А. Р. Лурии, систематическое включение кинестетического контроля в целевые действия поддерживает формирование более точной моторной программы и уменьшает долю случайных ошибок [3]. Соответственно, когда ребенок многократно выполняет «смысловые» бытовые действия, насыщенные проприоцептивной обратной связью, у него постепенно формируется телесная уверенность: «я чувствую, как правильно», «я могу исправить».</w:t>
      </w:r>
    </w:p>
    <w:p w14:paraId="41810BD2"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 xml:space="preserve">Третий принцип — соавторство ребенка в создании среды. Исследовав работы Н. Н. </w:t>
      </w:r>
      <w:proofErr w:type="spellStart"/>
      <w:r w:rsidRPr="00B23AB2">
        <w:rPr>
          <w:rFonts w:ascii="Times New Roman" w:eastAsia="Times New Roman" w:hAnsi="Times New Roman" w:cs="Times New Roman"/>
          <w:color w:val="000000" w:themeColor="text1"/>
          <w:sz w:val="28"/>
          <w:szCs w:val="28"/>
          <w:lang w:eastAsia="ru-RU"/>
        </w:rPr>
        <w:t>Поддьякова</w:t>
      </w:r>
      <w:proofErr w:type="spellEnd"/>
      <w:r w:rsidRPr="00B23AB2">
        <w:rPr>
          <w:rFonts w:ascii="Times New Roman" w:eastAsia="Times New Roman" w:hAnsi="Times New Roman" w:cs="Times New Roman"/>
          <w:color w:val="000000" w:themeColor="text1"/>
          <w:sz w:val="28"/>
          <w:szCs w:val="28"/>
          <w:lang w:eastAsia="ru-RU"/>
        </w:rPr>
        <w:t>, можно заключить, что активность ребенка возрастает, когда он включен в экспериментирование, выбор и преобразование предметов; это повышает познавательную инициативу и устойчивость действий [7]. В арт-дизайне соавторство может проявляться в создании пиктограмм и табличек для зон («мойка рук», «портфель», «творчество»), в выборе цвета контейнеров для хранения, в изготовлении «контуров» предметов на полках, в оформлении сенсорных панелей из безопасных фактур (фетр, ковролин, шнуры, крупные пуговицы под контролем взрослого). По мнению Л. С. Выготского, опосредование деятельности знаками и совместное действие со взрослым в зоне ближайшего развития являются условием появления новых форм самостоятельности [1]. Включение ребенка в дизайн среды фактически создает ситуацию, где знак (маркировка, символ, схема) становится «его» инструментом действия, а не внешним требованием.</w:t>
      </w:r>
    </w:p>
    <w:p w14:paraId="0EAF3E2D"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 xml:space="preserve">При организации арт-дизайна бытовой среды для младших школьников с УО целесообразно исходить из функциональных сценариев (рутин), которые непосредственно связаны с автономией: подготовка рабочего места, сбор портфеля, переодевание, прием пищи, гигиена рук, </w:t>
      </w:r>
      <w:r w:rsidRPr="00B23AB2">
        <w:rPr>
          <w:rFonts w:ascii="Times New Roman" w:eastAsia="Times New Roman" w:hAnsi="Times New Roman" w:cs="Times New Roman"/>
          <w:color w:val="000000" w:themeColor="text1"/>
          <w:sz w:val="28"/>
          <w:szCs w:val="28"/>
          <w:lang w:eastAsia="ru-RU"/>
        </w:rPr>
        <w:lastRenderedPageBreak/>
        <w:t>уборка после деятельности. Например, сценарий «подготовка рабочего места» может включать: фиксированное место для стула и ног (метки на полу), контейнер для принадлежностей с разделителями, подставку под тетрадь, визуальную схему «1) достань тетрадь 2) достань пенал 3) положи дневник», а также элемент проприоцептивной нагрузки в виде действия «достань и поставь короб с учебниками» (умеренного веса, безопасного для ребенка). По мнению А. В. Семенович, такие телесно-пространственные опоры облегчают включение в деятельность и уменьшают утомляемость за счет снижения избыточного контроля [8]. Аналогично, в сценарии «переодевание» могут использоваться: устойчивые лавочки, поручни или «точка опоры», последовательные пиктограммы, контейнеры с четкими границами, а также материалы, требующие дозированного усилия (молнии с крупным бегунком, липучки с сопротивлением), что поддерживает проприоцептивную дифференцировку.</w:t>
      </w:r>
    </w:p>
    <w:p w14:paraId="73F0F160" w14:textId="77777777" w:rsidR="000E4EA1" w:rsidRPr="00B23AB2"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Важным условием является баланс между эстетикой и сенсорной безопасностью. По мнению В. С. Мухиной, эмоциональное благополучие ребенка тесно связано с предсказуемостью и психологической защищенностью среды; перегрузка раздражителями может усиливать тревожность и снижать продуктивность деятельности [6]. Поэтому арт-дизайн в работе с детьми с УО должен опираться на принцип умеренности: ограниченная палитра (2–3 базовых цвета), повторяемые символы, отсутствие визуального «шума», тактильные элементы — строго функциональные и расположенные в специально выделенных зонах. С позиции Н. Н. Малофеева это соответствует пониманию доступной среды как условия включения ребенка в образовательные и жизненные практики [5].</w:t>
      </w:r>
    </w:p>
    <w:p w14:paraId="3EC355F2" w14:textId="4D4171D1" w:rsidR="000E4EA1" w:rsidRDefault="000E4EA1" w:rsidP="007C66F7">
      <w:pPr>
        <w:shd w:val="clear" w:color="auto" w:fill="FFFFFF"/>
        <w:spacing w:before="100" w:beforeAutospacing="1" w:after="100" w:afterAutospacing="1"/>
        <w:ind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Таким образом, проанализировав идеи Л. С. Выготского о социальной обусловленности развития и роли опосредования [1], подход П. Я. Гальперина к формированию действий через ориентировочную основу [2], нейропсихологические положения А. Р. Лурии о значимости кинестетической афферентации для произвольных действий [3], а также концепцию сенсорной интеграции А. Дж. Айрес о роли проприоцептивной стимуляции в формировании адаптивных ответов [11], можно заключить, что арт-дизайн бытовой среды является методологически обоснованным направлением коррекционно-развивающей работы с младшими школьниками с УО. Его эффективность как педагогического метода связана с тем, что он одновременно: структурирует действие, усиливает телесную обратную связь и формирует мотивацию к самостоятельности через включение ребенка в преобразование пространства. В результате бытовая среда перестает быть источником неопределенности и становится инструментом формирования проприоцептивной уверенности и автономии.</w:t>
      </w:r>
    </w:p>
    <w:p w14:paraId="62B82F66" w14:textId="483D7DF8" w:rsidR="00B92826" w:rsidRPr="00B92826" w:rsidRDefault="00B92826" w:rsidP="00F94009">
      <w:pPr>
        <w:shd w:val="clear" w:color="auto" w:fill="FFFFFF"/>
        <w:ind w:firstLine="709"/>
        <w:jc w:val="both"/>
        <w:rPr>
          <w:rFonts w:ascii="Times New Roman" w:eastAsia="Times New Roman" w:hAnsi="Times New Roman" w:cs="Times New Roman"/>
          <w:b/>
          <w:bCs/>
          <w:color w:val="000000" w:themeColor="text1"/>
          <w:sz w:val="28"/>
          <w:szCs w:val="28"/>
          <w:lang w:eastAsia="ru-RU"/>
        </w:rPr>
      </w:pPr>
      <w:r w:rsidRPr="00B92826">
        <w:rPr>
          <w:rFonts w:ascii="Times New Roman" w:eastAsia="Times New Roman" w:hAnsi="Times New Roman" w:cs="Times New Roman"/>
          <w:b/>
          <w:bCs/>
          <w:color w:val="000000" w:themeColor="text1"/>
          <w:sz w:val="28"/>
          <w:szCs w:val="28"/>
          <w:lang w:eastAsia="ru-RU"/>
        </w:rPr>
        <w:lastRenderedPageBreak/>
        <w:t>Литература</w:t>
      </w:r>
    </w:p>
    <w:p w14:paraId="2D9F0D19" w14:textId="28DDEFE0" w:rsidR="000E4EA1" w:rsidRPr="00B23AB2" w:rsidRDefault="000E4EA1" w:rsidP="00F94009">
      <w:pPr>
        <w:numPr>
          <w:ilvl w:val="0"/>
          <w:numId w:val="3"/>
        </w:numPr>
        <w:shd w:val="clear" w:color="auto" w:fill="FFFFFF"/>
        <w:tabs>
          <w:tab w:val="clear" w:pos="720"/>
        </w:tabs>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Выготский Л.С.</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Собрание сочинений: в 6 т. Т. 5: Основы дефектологии / Л.С. Выготский. — М.: Педагогика, 1983. — 368 с.</w:t>
      </w:r>
    </w:p>
    <w:p w14:paraId="49C64748" w14:textId="654827A9"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Гальперин П.Я. Введение в психологию / П.Я. Гальперин. — М.: Изд-во МГУ, 1976. — 150 с.</w:t>
      </w:r>
    </w:p>
    <w:p w14:paraId="56A96EC5" w14:textId="4F134715" w:rsidR="000E4EA1" w:rsidRPr="00B23AB2" w:rsidRDefault="000E4EA1" w:rsidP="00F94009">
      <w:pPr>
        <w:numPr>
          <w:ilvl w:val="0"/>
          <w:numId w:val="3"/>
        </w:numPr>
        <w:shd w:val="clear" w:color="auto" w:fill="FFFFFF"/>
        <w:tabs>
          <w:tab w:val="clear" w:pos="720"/>
        </w:tabs>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Лурия А.Р.</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Высшие корковые функции человека и их нарушения при локальных поражениях мозга / А.Р. Лурия. — 3-е изд. — М.: Академический проект, 2000. — 512 с.</w:t>
      </w:r>
    </w:p>
    <w:p w14:paraId="3D0B5EB2" w14:textId="776099CD"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proofErr w:type="spellStart"/>
      <w:r w:rsidRPr="00B23AB2">
        <w:rPr>
          <w:rFonts w:ascii="Times New Roman" w:eastAsia="Times New Roman" w:hAnsi="Times New Roman" w:cs="Times New Roman"/>
          <w:color w:val="000000" w:themeColor="text1"/>
          <w:sz w:val="28"/>
          <w:szCs w:val="28"/>
          <w:lang w:eastAsia="ru-RU"/>
        </w:rPr>
        <w:t>Мастюкова</w:t>
      </w:r>
      <w:proofErr w:type="spellEnd"/>
      <w:r w:rsidRPr="00B23AB2">
        <w:rPr>
          <w:rFonts w:ascii="Times New Roman" w:eastAsia="Times New Roman" w:hAnsi="Times New Roman" w:cs="Times New Roman"/>
          <w:color w:val="000000" w:themeColor="text1"/>
          <w:sz w:val="28"/>
          <w:szCs w:val="28"/>
          <w:lang w:eastAsia="ru-RU"/>
        </w:rPr>
        <w:t xml:space="preserve"> Е.М.</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 xml:space="preserve">Дети с задержкой психического развития: клинико-психолого-педагогическая характеристика и коррекция / Е.М. </w:t>
      </w:r>
      <w:proofErr w:type="spellStart"/>
      <w:r w:rsidRPr="00B23AB2">
        <w:rPr>
          <w:rFonts w:ascii="Times New Roman" w:eastAsia="Times New Roman" w:hAnsi="Times New Roman" w:cs="Times New Roman"/>
          <w:color w:val="000000" w:themeColor="text1"/>
          <w:sz w:val="28"/>
          <w:szCs w:val="28"/>
          <w:lang w:eastAsia="ru-RU"/>
        </w:rPr>
        <w:t>Мастюкова</w:t>
      </w:r>
      <w:proofErr w:type="spellEnd"/>
      <w:r w:rsidRPr="00B23AB2">
        <w:rPr>
          <w:rFonts w:ascii="Times New Roman" w:eastAsia="Times New Roman" w:hAnsi="Times New Roman" w:cs="Times New Roman"/>
          <w:color w:val="000000" w:themeColor="text1"/>
          <w:sz w:val="28"/>
          <w:szCs w:val="28"/>
          <w:lang w:eastAsia="ru-RU"/>
        </w:rPr>
        <w:t xml:space="preserve">, Е.И. </w:t>
      </w:r>
      <w:proofErr w:type="spellStart"/>
      <w:r w:rsidRPr="00B23AB2">
        <w:rPr>
          <w:rFonts w:ascii="Times New Roman" w:eastAsia="Times New Roman" w:hAnsi="Times New Roman" w:cs="Times New Roman"/>
          <w:color w:val="000000" w:themeColor="text1"/>
          <w:sz w:val="28"/>
          <w:szCs w:val="28"/>
          <w:lang w:eastAsia="ru-RU"/>
        </w:rPr>
        <w:t>Переслени</w:t>
      </w:r>
      <w:proofErr w:type="spellEnd"/>
      <w:r w:rsidRPr="00B23AB2">
        <w:rPr>
          <w:rFonts w:ascii="Times New Roman" w:eastAsia="Times New Roman" w:hAnsi="Times New Roman" w:cs="Times New Roman"/>
          <w:color w:val="000000" w:themeColor="text1"/>
          <w:sz w:val="28"/>
          <w:szCs w:val="28"/>
          <w:lang w:eastAsia="ru-RU"/>
        </w:rPr>
        <w:t>. — М.: Академия, 2003. — 256 с.</w:t>
      </w:r>
    </w:p>
    <w:p w14:paraId="783CB86A" w14:textId="4A1A70FD"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Малофеев Н.Н.</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Специальное образование в меняющемся мире. Россия: учеб. пособие: в 2 ч. Ч. 1 / Н.Н. Малофеев. — М.: Просвещение, 2010. — 319 с.</w:t>
      </w:r>
    </w:p>
    <w:p w14:paraId="4C7BADF9" w14:textId="37156D50"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Мухина В.С.</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Возрастная психология. Феноменология развития / В.С. Мухина. — 10-е изд. — М.: Академия, 2012. — 656 с.</w:t>
      </w:r>
    </w:p>
    <w:p w14:paraId="3FCDFFDA" w14:textId="4467C7D1"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proofErr w:type="spellStart"/>
      <w:r w:rsidRPr="00B23AB2">
        <w:rPr>
          <w:rFonts w:ascii="Times New Roman" w:eastAsia="Times New Roman" w:hAnsi="Times New Roman" w:cs="Times New Roman"/>
          <w:color w:val="000000" w:themeColor="text1"/>
          <w:sz w:val="28"/>
          <w:szCs w:val="28"/>
          <w:lang w:eastAsia="ru-RU"/>
        </w:rPr>
        <w:t>Поддьяков</w:t>
      </w:r>
      <w:proofErr w:type="spellEnd"/>
      <w:r w:rsidRPr="00B23AB2">
        <w:rPr>
          <w:rFonts w:ascii="Times New Roman" w:eastAsia="Times New Roman" w:hAnsi="Times New Roman" w:cs="Times New Roman"/>
          <w:color w:val="000000" w:themeColor="text1"/>
          <w:sz w:val="28"/>
          <w:szCs w:val="28"/>
          <w:lang w:eastAsia="ru-RU"/>
        </w:rPr>
        <w:t xml:space="preserve"> Н.Н.</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Исследовательское поведение дошкольников / Н.Н. Под</w:t>
      </w:r>
      <w:r w:rsidR="00F94009">
        <w:rPr>
          <w:rFonts w:ascii="Times New Roman" w:eastAsia="Times New Roman" w:hAnsi="Times New Roman" w:cs="Times New Roman"/>
          <w:color w:val="000000" w:themeColor="text1"/>
          <w:sz w:val="28"/>
          <w:szCs w:val="28"/>
          <w:lang w:val="en-US" w:eastAsia="ru-RU"/>
        </w:rPr>
        <w:t>l</w:t>
      </w:r>
      <w:proofErr w:type="spellStart"/>
      <w:r w:rsidRPr="00B23AB2">
        <w:rPr>
          <w:rFonts w:ascii="Times New Roman" w:eastAsia="Times New Roman" w:hAnsi="Times New Roman" w:cs="Times New Roman"/>
          <w:color w:val="000000" w:themeColor="text1"/>
          <w:sz w:val="28"/>
          <w:szCs w:val="28"/>
          <w:lang w:eastAsia="ru-RU"/>
        </w:rPr>
        <w:t>ьяков</w:t>
      </w:r>
      <w:proofErr w:type="spellEnd"/>
      <w:r w:rsidRPr="00B23AB2">
        <w:rPr>
          <w:rFonts w:ascii="Times New Roman" w:eastAsia="Times New Roman" w:hAnsi="Times New Roman" w:cs="Times New Roman"/>
          <w:color w:val="000000" w:themeColor="text1"/>
          <w:sz w:val="28"/>
          <w:szCs w:val="28"/>
          <w:lang w:eastAsia="ru-RU"/>
        </w:rPr>
        <w:t>. — М.: Педагогика, 1980. — 272 с.</w:t>
      </w:r>
    </w:p>
    <w:p w14:paraId="5CDD123B" w14:textId="4F8F6E7B"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Семенович А.В.</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Нейропсихологическая коррекция в детском возрасте: метод. рекомендации / А.В. Семенович. — М.: Генезис, 2007. — 474 с.</w:t>
      </w:r>
    </w:p>
    <w:p w14:paraId="28113894" w14:textId="3134D330"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Семаго М.М.</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Организация и содержание деятельности психолого-педагогического консилиума образовательной организации: метод. пособие / М.М. Семаго, Н.Я. Семаго. — М.: УЦ «Перспектива», 2015. — 256 с.</w:t>
      </w:r>
    </w:p>
    <w:p w14:paraId="37B442C2" w14:textId="58573D7C"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Шипицына Л.М.</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Психология детей с интеллектуальными нарушениями: учеб. пособие / Л.М. Шипицына. — СПб.: Речь, 2008. — 240 с.</w:t>
      </w:r>
    </w:p>
    <w:p w14:paraId="1971E0C6" w14:textId="1372E9C3"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val="en-US" w:eastAsia="ru-RU"/>
        </w:rPr>
      </w:pPr>
      <w:r w:rsidRPr="00B23AB2">
        <w:rPr>
          <w:rFonts w:ascii="Times New Roman" w:eastAsia="Times New Roman" w:hAnsi="Times New Roman" w:cs="Times New Roman"/>
          <w:color w:val="000000" w:themeColor="text1"/>
          <w:sz w:val="28"/>
          <w:szCs w:val="28"/>
          <w:lang w:val="en-US" w:eastAsia="ru-RU"/>
        </w:rPr>
        <w:t>Ayres A.J. Sensory Integration and the Child / A.J. Ayres. — Los Angeles: Western Psychological Services, 2005. — 224 p.</w:t>
      </w:r>
    </w:p>
    <w:p w14:paraId="40C8CCAB" w14:textId="246ACC7D"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val="en-US" w:eastAsia="ru-RU"/>
        </w:rPr>
      </w:pPr>
      <w:r w:rsidRPr="00B23AB2">
        <w:rPr>
          <w:rFonts w:ascii="Times New Roman" w:eastAsia="Times New Roman" w:hAnsi="Times New Roman" w:cs="Times New Roman"/>
          <w:color w:val="000000" w:themeColor="text1"/>
          <w:sz w:val="28"/>
          <w:szCs w:val="28"/>
          <w:lang w:val="en-US" w:eastAsia="ru-RU"/>
        </w:rPr>
        <w:t>Shumway-Cook A.</w:t>
      </w:r>
      <w:r w:rsidR="00F94009">
        <w:rPr>
          <w:rFonts w:ascii="Times New Roman" w:eastAsia="Times New Roman" w:hAnsi="Times New Roman" w:cs="Times New Roman"/>
          <w:color w:val="000000" w:themeColor="text1"/>
          <w:sz w:val="28"/>
          <w:szCs w:val="28"/>
          <w:lang w:val="en-US" w:eastAsia="ru-RU"/>
        </w:rPr>
        <w:t xml:space="preserve"> </w:t>
      </w:r>
      <w:r w:rsidRPr="00B23AB2">
        <w:rPr>
          <w:rFonts w:ascii="Times New Roman" w:eastAsia="Times New Roman" w:hAnsi="Times New Roman" w:cs="Times New Roman"/>
          <w:color w:val="000000" w:themeColor="text1"/>
          <w:sz w:val="28"/>
          <w:szCs w:val="28"/>
          <w:lang w:val="en-US" w:eastAsia="ru-RU"/>
        </w:rPr>
        <w:t>Motor Control: Translating Research into Clinical Practice / A. Shumway-Cook, M.H. Woollacott. — 5th ed. — Philadelphia : Wolters Kluwer, 2017. — 640 p.</w:t>
      </w:r>
    </w:p>
    <w:p w14:paraId="7260938F" w14:textId="7633708E" w:rsidR="000E4EA1" w:rsidRPr="00B23AB2" w:rsidRDefault="000E4EA1" w:rsidP="00F94009">
      <w:pPr>
        <w:numPr>
          <w:ilvl w:val="0"/>
          <w:numId w:val="3"/>
        </w:numPr>
        <w:shd w:val="clear" w:color="auto" w:fill="FFFFFF"/>
        <w:ind w:left="0" w:firstLine="709"/>
        <w:jc w:val="both"/>
        <w:rPr>
          <w:rFonts w:ascii="Times New Roman" w:eastAsia="Times New Roman" w:hAnsi="Times New Roman" w:cs="Times New Roman"/>
          <w:color w:val="000000" w:themeColor="text1"/>
          <w:sz w:val="28"/>
          <w:szCs w:val="28"/>
          <w:lang w:eastAsia="ru-RU"/>
        </w:rPr>
      </w:pPr>
      <w:r w:rsidRPr="00B23AB2">
        <w:rPr>
          <w:rFonts w:ascii="Times New Roman" w:eastAsia="Times New Roman" w:hAnsi="Times New Roman" w:cs="Times New Roman"/>
          <w:color w:val="000000" w:themeColor="text1"/>
          <w:sz w:val="28"/>
          <w:szCs w:val="28"/>
          <w:lang w:eastAsia="ru-RU"/>
        </w:rPr>
        <w:t>Эльконин Д.Б.</w:t>
      </w:r>
      <w:r w:rsidR="00F94009" w:rsidRPr="00F94009">
        <w:rPr>
          <w:rFonts w:ascii="Times New Roman" w:eastAsia="Times New Roman" w:hAnsi="Times New Roman" w:cs="Times New Roman"/>
          <w:color w:val="000000" w:themeColor="text1"/>
          <w:sz w:val="28"/>
          <w:szCs w:val="28"/>
          <w:lang w:eastAsia="ru-RU"/>
        </w:rPr>
        <w:t xml:space="preserve"> </w:t>
      </w:r>
      <w:r w:rsidRPr="00B23AB2">
        <w:rPr>
          <w:rFonts w:ascii="Times New Roman" w:eastAsia="Times New Roman" w:hAnsi="Times New Roman" w:cs="Times New Roman"/>
          <w:color w:val="000000" w:themeColor="text1"/>
          <w:sz w:val="28"/>
          <w:szCs w:val="28"/>
          <w:lang w:eastAsia="ru-RU"/>
        </w:rPr>
        <w:t>Психология обучения младшего школьника / Д.Б. Эльконин. — М.: Знание, 1974. — 64 с.</w:t>
      </w:r>
    </w:p>
    <w:p w14:paraId="6A8EFA2E" w14:textId="77777777" w:rsidR="00F94009" w:rsidRDefault="00F94009" w:rsidP="00F94009">
      <w:pPr>
        <w:pStyle w:val="3"/>
        <w:shd w:val="clear" w:color="auto" w:fill="FFFFFF"/>
        <w:spacing w:before="0" w:beforeAutospacing="0" w:after="0" w:afterAutospacing="0"/>
        <w:jc w:val="both"/>
        <w:rPr>
          <w:color w:val="000000" w:themeColor="text1"/>
          <w:sz w:val="28"/>
          <w:szCs w:val="28"/>
        </w:rPr>
      </w:pPr>
    </w:p>
    <w:p w14:paraId="4731F2E7" w14:textId="1E52FBC8" w:rsidR="00F605AE" w:rsidRPr="00B23AB2" w:rsidRDefault="008A1A09" w:rsidP="00F94009">
      <w:pPr>
        <w:pStyle w:val="3"/>
        <w:shd w:val="clear" w:color="auto" w:fill="FFFFFF"/>
        <w:spacing w:before="0" w:beforeAutospacing="0" w:after="0" w:afterAutospacing="0"/>
        <w:ind w:firstLine="709"/>
        <w:jc w:val="both"/>
        <w:rPr>
          <w:color w:val="000000" w:themeColor="text1"/>
          <w:sz w:val="28"/>
          <w:szCs w:val="28"/>
          <w:lang w:val="en-US"/>
        </w:rPr>
      </w:pPr>
      <w:r w:rsidRPr="00B23AB2">
        <w:rPr>
          <w:color w:val="000000" w:themeColor="text1"/>
          <w:sz w:val="28"/>
          <w:szCs w:val="28"/>
          <w:lang w:val="en-US"/>
        </w:rPr>
        <w:t>R</w:t>
      </w:r>
      <w:r w:rsidR="00F94009">
        <w:rPr>
          <w:color w:val="000000" w:themeColor="text1"/>
          <w:sz w:val="28"/>
          <w:szCs w:val="28"/>
          <w:lang w:val="en-US"/>
        </w:rPr>
        <w:t>eferences</w:t>
      </w:r>
    </w:p>
    <w:p w14:paraId="62405D56" w14:textId="1CB600AA"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Vygotsky L.S.</w:t>
      </w:r>
      <w:r w:rsidRPr="00B23AB2">
        <w:rPr>
          <w:color w:val="000000" w:themeColor="text1"/>
          <w:sz w:val="28"/>
          <w:szCs w:val="28"/>
          <w:lang w:val="en-US"/>
        </w:rPr>
        <w:t> </w:t>
      </w:r>
      <w:r w:rsidRPr="00B23AB2">
        <w:rPr>
          <w:rStyle w:val="a5"/>
          <w:rFonts w:eastAsiaTheme="majorEastAsia"/>
          <w:color w:val="000000" w:themeColor="text1"/>
          <w:sz w:val="28"/>
          <w:szCs w:val="28"/>
          <w:lang w:val="en-US"/>
        </w:rPr>
        <w:t xml:space="preserve">Collected Works: in 6 vols. Vol. 5: Foundations of </w:t>
      </w:r>
      <w:proofErr w:type="spellStart"/>
      <w:r w:rsidRPr="00B23AB2">
        <w:rPr>
          <w:rStyle w:val="a5"/>
          <w:rFonts w:eastAsiaTheme="majorEastAsia"/>
          <w:color w:val="000000" w:themeColor="text1"/>
          <w:sz w:val="28"/>
          <w:szCs w:val="28"/>
          <w:lang w:val="en-US"/>
        </w:rPr>
        <w:t>Defectology</w:t>
      </w:r>
      <w:proofErr w:type="spellEnd"/>
      <w:r w:rsidRPr="00B23AB2">
        <w:rPr>
          <w:color w:val="000000" w:themeColor="text1"/>
          <w:sz w:val="28"/>
          <w:szCs w:val="28"/>
          <w:lang w:val="en-US"/>
        </w:rPr>
        <w:t xml:space="preserve"> / L.S. Vygotsky. — Moscow: </w:t>
      </w:r>
      <w:proofErr w:type="spellStart"/>
      <w:r w:rsidRPr="00B23AB2">
        <w:rPr>
          <w:color w:val="000000" w:themeColor="text1"/>
          <w:sz w:val="28"/>
          <w:szCs w:val="28"/>
          <w:lang w:val="en-US"/>
        </w:rPr>
        <w:t>Pedagogika</w:t>
      </w:r>
      <w:proofErr w:type="spellEnd"/>
      <w:r w:rsidRPr="00B23AB2">
        <w:rPr>
          <w:color w:val="000000" w:themeColor="text1"/>
          <w:sz w:val="28"/>
          <w:szCs w:val="28"/>
          <w:lang w:val="en-US"/>
        </w:rPr>
        <w:t>, 1983. — 368 p.</w:t>
      </w:r>
    </w:p>
    <w:p w14:paraId="5A4988C7" w14:textId="030EE9BB"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 xml:space="preserve">Galperin </w:t>
      </w:r>
      <w:proofErr w:type="spellStart"/>
      <w:r w:rsidRPr="00B23AB2">
        <w:rPr>
          <w:rStyle w:val="a4"/>
          <w:b w:val="0"/>
          <w:bCs w:val="0"/>
          <w:color w:val="000000" w:themeColor="text1"/>
          <w:sz w:val="28"/>
          <w:szCs w:val="28"/>
          <w:lang w:val="en-US"/>
        </w:rPr>
        <w:t>P.Ya</w:t>
      </w:r>
      <w:proofErr w:type="spellEnd"/>
      <w:r w:rsidRPr="00B23AB2">
        <w:rPr>
          <w:rStyle w:val="a4"/>
          <w:b w:val="0"/>
          <w:bCs w:val="0"/>
          <w:color w:val="000000" w:themeColor="text1"/>
          <w:sz w:val="28"/>
          <w:szCs w:val="28"/>
          <w:lang w:val="en-US"/>
        </w:rPr>
        <w:t>.</w:t>
      </w:r>
      <w:r w:rsidRPr="00B23AB2">
        <w:rPr>
          <w:color w:val="000000" w:themeColor="text1"/>
          <w:sz w:val="28"/>
          <w:szCs w:val="28"/>
          <w:lang w:val="en-US"/>
        </w:rPr>
        <w:t> </w:t>
      </w:r>
      <w:r w:rsidRPr="00B23AB2">
        <w:rPr>
          <w:rStyle w:val="a5"/>
          <w:rFonts w:eastAsiaTheme="majorEastAsia"/>
          <w:color w:val="000000" w:themeColor="text1"/>
          <w:sz w:val="28"/>
          <w:szCs w:val="28"/>
          <w:lang w:val="en-US"/>
        </w:rPr>
        <w:t>Introduction to Psychology</w:t>
      </w:r>
      <w:r w:rsidRPr="00B23AB2">
        <w:rPr>
          <w:color w:val="000000" w:themeColor="text1"/>
          <w:sz w:val="28"/>
          <w:szCs w:val="28"/>
          <w:lang w:val="en-US"/>
        </w:rPr>
        <w:t xml:space="preserve"> / </w:t>
      </w:r>
      <w:proofErr w:type="spellStart"/>
      <w:r w:rsidRPr="00B23AB2">
        <w:rPr>
          <w:color w:val="000000" w:themeColor="text1"/>
          <w:sz w:val="28"/>
          <w:szCs w:val="28"/>
          <w:lang w:val="en-US"/>
        </w:rPr>
        <w:t>P.Ya</w:t>
      </w:r>
      <w:proofErr w:type="spellEnd"/>
      <w:r w:rsidRPr="00B23AB2">
        <w:rPr>
          <w:color w:val="000000" w:themeColor="text1"/>
          <w:sz w:val="28"/>
          <w:szCs w:val="28"/>
          <w:lang w:val="en-US"/>
        </w:rPr>
        <w:t>. Galperin. — Moscow: Moscow State University Publishing House, 1976. — 150 p.</w:t>
      </w:r>
    </w:p>
    <w:p w14:paraId="521120A5" w14:textId="1C59D6E4"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lastRenderedPageBreak/>
        <w:t>Luria A.R.</w:t>
      </w:r>
      <w:r w:rsidR="00F94009">
        <w:rPr>
          <w:color w:val="000000" w:themeColor="text1"/>
          <w:sz w:val="28"/>
          <w:szCs w:val="28"/>
          <w:lang w:val="en-US"/>
        </w:rPr>
        <w:t xml:space="preserve"> </w:t>
      </w:r>
      <w:r w:rsidRPr="00B23AB2">
        <w:rPr>
          <w:rStyle w:val="a5"/>
          <w:rFonts w:eastAsiaTheme="majorEastAsia"/>
          <w:color w:val="000000" w:themeColor="text1"/>
          <w:sz w:val="28"/>
          <w:szCs w:val="28"/>
          <w:lang w:val="en-US"/>
        </w:rPr>
        <w:t>Higher Cortical Functions in Man and Their Disturbances in Local Brain Lesions</w:t>
      </w:r>
      <w:r w:rsidRPr="00B23AB2">
        <w:rPr>
          <w:color w:val="000000" w:themeColor="text1"/>
          <w:sz w:val="28"/>
          <w:szCs w:val="28"/>
          <w:lang w:val="en-US"/>
        </w:rPr>
        <w:t xml:space="preserve"> / A.R. Luria. — 3rd ed. — Moscow: </w:t>
      </w:r>
      <w:proofErr w:type="spellStart"/>
      <w:r w:rsidRPr="00B23AB2">
        <w:rPr>
          <w:color w:val="000000" w:themeColor="text1"/>
          <w:sz w:val="28"/>
          <w:szCs w:val="28"/>
          <w:lang w:val="en-US"/>
        </w:rPr>
        <w:t>Akademicheskiy</w:t>
      </w:r>
      <w:proofErr w:type="spellEnd"/>
      <w:r w:rsidRPr="00B23AB2">
        <w:rPr>
          <w:color w:val="000000" w:themeColor="text1"/>
          <w:sz w:val="28"/>
          <w:szCs w:val="28"/>
          <w:lang w:val="en-US"/>
        </w:rPr>
        <w:t xml:space="preserve"> </w:t>
      </w:r>
      <w:proofErr w:type="spellStart"/>
      <w:r w:rsidRPr="00B23AB2">
        <w:rPr>
          <w:color w:val="000000" w:themeColor="text1"/>
          <w:sz w:val="28"/>
          <w:szCs w:val="28"/>
          <w:lang w:val="en-US"/>
        </w:rPr>
        <w:t>Proekt</w:t>
      </w:r>
      <w:proofErr w:type="spellEnd"/>
      <w:r w:rsidRPr="00B23AB2">
        <w:rPr>
          <w:color w:val="000000" w:themeColor="text1"/>
          <w:sz w:val="28"/>
          <w:szCs w:val="28"/>
          <w:lang w:val="en-US"/>
        </w:rPr>
        <w:t>, 2000. — 512 p.</w:t>
      </w:r>
    </w:p>
    <w:p w14:paraId="761E386C" w14:textId="4605CCAE"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proofErr w:type="spellStart"/>
      <w:r w:rsidRPr="00B23AB2">
        <w:rPr>
          <w:rStyle w:val="a4"/>
          <w:b w:val="0"/>
          <w:bCs w:val="0"/>
          <w:color w:val="000000" w:themeColor="text1"/>
          <w:sz w:val="28"/>
          <w:szCs w:val="28"/>
          <w:lang w:val="en-US"/>
        </w:rPr>
        <w:t>Mastyukova</w:t>
      </w:r>
      <w:proofErr w:type="spellEnd"/>
      <w:r w:rsidRPr="00B23AB2">
        <w:rPr>
          <w:rStyle w:val="a4"/>
          <w:b w:val="0"/>
          <w:bCs w:val="0"/>
          <w:color w:val="000000" w:themeColor="text1"/>
          <w:sz w:val="28"/>
          <w:szCs w:val="28"/>
          <w:lang w:val="en-US"/>
        </w:rPr>
        <w:t xml:space="preserve"> E.M.</w:t>
      </w:r>
      <w:r w:rsidRPr="00B23AB2">
        <w:rPr>
          <w:color w:val="000000" w:themeColor="text1"/>
          <w:sz w:val="28"/>
          <w:szCs w:val="28"/>
          <w:lang w:val="en-US"/>
        </w:rPr>
        <w:t>;</w:t>
      </w:r>
      <w:r w:rsidR="00F94009">
        <w:rPr>
          <w:color w:val="000000" w:themeColor="text1"/>
          <w:sz w:val="28"/>
          <w:szCs w:val="28"/>
          <w:lang w:val="en-US"/>
        </w:rPr>
        <w:t xml:space="preserve"> </w:t>
      </w:r>
      <w:proofErr w:type="spellStart"/>
      <w:r w:rsidRPr="00B23AB2">
        <w:rPr>
          <w:rStyle w:val="a4"/>
          <w:b w:val="0"/>
          <w:bCs w:val="0"/>
          <w:color w:val="000000" w:themeColor="text1"/>
          <w:sz w:val="28"/>
          <w:szCs w:val="28"/>
          <w:lang w:val="en-US"/>
        </w:rPr>
        <w:t>Peresleni</w:t>
      </w:r>
      <w:proofErr w:type="spellEnd"/>
      <w:r w:rsidRPr="00B23AB2">
        <w:rPr>
          <w:rStyle w:val="a4"/>
          <w:b w:val="0"/>
          <w:bCs w:val="0"/>
          <w:color w:val="000000" w:themeColor="text1"/>
          <w:sz w:val="28"/>
          <w:szCs w:val="28"/>
          <w:lang w:val="en-US"/>
        </w:rPr>
        <w:t xml:space="preserve"> E.I.</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Children with Mental Developmental Delay: Clinical, Psychological and Pedagogical Characteristics and Correction</w:t>
      </w:r>
      <w:r w:rsidRPr="00B23AB2">
        <w:rPr>
          <w:color w:val="000000" w:themeColor="text1"/>
          <w:sz w:val="28"/>
          <w:szCs w:val="28"/>
          <w:lang w:val="en-US"/>
        </w:rPr>
        <w:t xml:space="preserve"> / E.M. </w:t>
      </w:r>
      <w:proofErr w:type="spellStart"/>
      <w:r w:rsidRPr="00B23AB2">
        <w:rPr>
          <w:color w:val="000000" w:themeColor="text1"/>
          <w:sz w:val="28"/>
          <w:szCs w:val="28"/>
          <w:lang w:val="en-US"/>
        </w:rPr>
        <w:t>Mastyukova</w:t>
      </w:r>
      <w:proofErr w:type="spellEnd"/>
      <w:r w:rsidRPr="00B23AB2">
        <w:rPr>
          <w:color w:val="000000" w:themeColor="text1"/>
          <w:sz w:val="28"/>
          <w:szCs w:val="28"/>
          <w:lang w:val="en-US"/>
        </w:rPr>
        <w:t xml:space="preserve">, E.I. </w:t>
      </w:r>
      <w:proofErr w:type="spellStart"/>
      <w:r w:rsidRPr="00B23AB2">
        <w:rPr>
          <w:color w:val="000000" w:themeColor="text1"/>
          <w:sz w:val="28"/>
          <w:szCs w:val="28"/>
          <w:lang w:val="en-US"/>
        </w:rPr>
        <w:t>Peresleni</w:t>
      </w:r>
      <w:proofErr w:type="spellEnd"/>
      <w:r w:rsidRPr="00B23AB2">
        <w:rPr>
          <w:color w:val="000000" w:themeColor="text1"/>
          <w:sz w:val="28"/>
          <w:szCs w:val="28"/>
          <w:lang w:val="en-US"/>
        </w:rPr>
        <w:t xml:space="preserve">. — Moscow: </w:t>
      </w:r>
      <w:proofErr w:type="spellStart"/>
      <w:r w:rsidRPr="00B23AB2">
        <w:rPr>
          <w:color w:val="000000" w:themeColor="text1"/>
          <w:sz w:val="28"/>
          <w:szCs w:val="28"/>
          <w:lang w:val="en-US"/>
        </w:rPr>
        <w:t>Akademiya</w:t>
      </w:r>
      <w:proofErr w:type="spellEnd"/>
      <w:r w:rsidRPr="00B23AB2">
        <w:rPr>
          <w:color w:val="000000" w:themeColor="text1"/>
          <w:sz w:val="28"/>
          <w:szCs w:val="28"/>
          <w:lang w:val="en-US"/>
        </w:rPr>
        <w:t>, 2003. — 256 p.</w:t>
      </w:r>
    </w:p>
    <w:p w14:paraId="00678950" w14:textId="5B94C52C"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Malofeev N.N.</w:t>
      </w:r>
      <w:r w:rsidR="006A7AF9">
        <w:rPr>
          <w:color w:val="000000" w:themeColor="text1"/>
          <w:sz w:val="28"/>
          <w:szCs w:val="28"/>
          <w:lang w:val="en-US"/>
        </w:rPr>
        <w:t xml:space="preserve"> </w:t>
      </w:r>
      <w:r w:rsidRPr="00B23AB2">
        <w:rPr>
          <w:rStyle w:val="a5"/>
          <w:rFonts w:eastAsiaTheme="majorEastAsia"/>
          <w:color w:val="000000" w:themeColor="text1"/>
          <w:sz w:val="28"/>
          <w:szCs w:val="28"/>
          <w:lang w:val="en-US"/>
        </w:rPr>
        <w:t>Special Education in a Changing World. Russia: Textbook: in 2 parts. Part 1</w:t>
      </w:r>
      <w:r w:rsidRPr="00B23AB2">
        <w:rPr>
          <w:color w:val="000000" w:themeColor="text1"/>
          <w:sz w:val="28"/>
          <w:szCs w:val="28"/>
          <w:lang w:val="en-US"/>
        </w:rPr>
        <w:t xml:space="preserve"> / N.N. Malofeev. — Moscow: </w:t>
      </w:r>
      <w:proofErr w:type="spellStart"/>
      <w:r w:rsidRPr="00B23AB2">
        <w:rPr>
          <w:color w:val="000000" w:themeColor="text1"/>
          <w:sz w:val="28"/>
          <w:szCs w:val="28"/>
          <w:lang w:val="en-US"/>
        </w:rPr>
        <w:t>Prosveshchenie</w:t>
      </w:r>
      <w:proofErr w:type="spellEnd"/>
      <w:r w:rsidRPr="00B23AB2">
        <w:rPr>
          <w:color w:val="000000" w:themeColor="text1"/>
          <w:sz w:val="28"/>
          <w:szCs w:val="28"/>
          <w:lang w:val="en-US"/>
        </w:rPr>
        <w:t>, 2010. — 319 p.</w:t>
      </w:r>
    </w:p>
    <w:p w14:paraId="1F0B8221" w14:textId="0E3DE867"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Mukhina V.S.</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Developmental Psychology: Phenomenology of Development</w:t>
      </w:r>
      <w:r w:rsidRPr="00B23AB2">
        <w:rPr>
          <w:color w:val="000000" w:themeColor="text1"/>
          <w:sz w:val="28"/>
          <w:szCs w:val="28"/>
          <w:lang w:val="en-US"/>
        </w:rPr>
        <w:t xml:space="preserve"> / V.S. Mukhina. — 10th ed. — Moscow: </w:t>
      </w:r>
      <w:proofErr w:type="spellStart"/>
      <w:r w:rsidRPr="00B23AB2">
        <w:rPr>
          <w:color w:val="000000" w:themeColor="text1"/>
          <w:sz w:val="28"/>
          <w:szCs w:val="28"/>
          <w:lang w:val="en-US"/>
        </w:rPr>
        <w:t>Akademiya</w:t>
      </w:r>
      <w:proofErr w:type="spellEnd"/>
      <w:r w:rsidRPr="00B23AB2">
        <w:rPr>
          <w:color w:val="000000" w:themeColor="text1"/>
          <w:sz w:val="28"/>
          <w:szCs w:val="28"/>
          <w:lang w:val="en-US"/>
        </w:rPr>
        <w:t>, 2012. — 656 p.</w:t>
      </w:r>
    </w:p>
    <w:p w14:paraId="178BEB15" w14:textId="65F9873B"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proofErr w:type="spellStart"/>
      <w:r w:rsidRPr="00B23AB2">
        <w:rPr>
          <w:rStyle w:val="a4"/>
          <w:b w:val="0"/>
          <w:bCs w:val="0"/>
          <w:color w:val="000000" w:themeColor="text1"/>
          <w:sz w:val="28"/>
          <w:szCs w:val="28"/>
          <w:lang w:val="en-US"/>
        </w:rPr>
        <w:t>Poddyakov</w:t>
      </w:r>
      <w:proofErr w:type="spellEnd"/>
      <w:r w:rsidRPr="00B23AB2">
        <w:rPr>
          <w:rStyle w:val="a4"/>
          <w:b w:val="0"/>
          <w:bCs w:val="0"/>
          <w:color w:val="000000" w:themeColor="text1"/>
          <w:sz w:val="28"/>
          <w:szCs w:val="28"/>
          <w:lang w:val="en-US"/>
        </w:rPr>
        <w:t xml:space="preserve"> N.N.</w:t>
      </w:r>
      <w:r w:rsidR="006A7AF9">
        <w:rPr>
          <w:color w:val="000000" w:themeColor="text1"/>
          <w:sz w:val="28"/>
          <w:szCs w:val="28"/>
          <w:lang w:val="en-US"/>
        </w:rPr>
        <w:t xml:space="preserve"> </w:t>
      </w:r>
      <w:r w:rsidRPr="00B23AB2">
        <w:rPr>
          <w:rStyle w:val="a5"/>
          <w:rFonts w:eastAsiaTheme="majorEastAsia"/>
          <w:color w:val="000000" w:themeColor="text1"/>
          <w:sz w:val="28"/>
          <w:szCs w:val="28"/>
          <w:lang w:val="en-US"/>
        </w:rPr>
        <w:t>Exploratory Behavior of Preschool Children</w:t>
      </w:r>
      <w:r w:rsidRPr="00B23AB2">
        <w:rPr>
          <w:color w:val="000000" w:themeColor="text1"/>
          <w:sz w:val="28"/>
          <w:szCs w:val="28"/>
          <w:lang w:val="en-US"/>
        </w:rPr>
        <w:t xml:space="preserve"> / N.N. Poddyakov. — Moscow: </w:t>
      </w:r>
      <w:proofErr w:type="spellStart"/>
      <w:r w:rsidRPr="00B23AB2">
        <w:rPr>
          <w:color w:val="000000" w:themeColor="text1"/>
          <w:sz w:val="28"/>
          <w:szCs w:val="28"/>
          <w:lang w:val="en-US"/>
        </w:rPr>
        <w:t>Pedagogika</w:t>
      </w:r>
      <w:proofErr w:type="spellEnd"/>
      <w:r w:rsidRPr="00B23AB2">
        <w:rPr>
          <w:color w:val="000000" w:themeColor="text1"/>
          <w:sz w:val="28"/>
          <w:szCs w:val="28"/>
          <w:lang w:val="en-US"/>
        </w:rPr>
        <w:t>, 1980. — 272 p.</w:t>
      </w:r>
    </w:p>
    <w:p w14:paraId="6DC6443E" w14:textId="50BA7460"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proofErr w:type="spellStart"/>
      <w:r w:rsidRPr="00B23AB2">
        <w:rPr>
          <w:rStyle w:val="a4"/>
          <w:b w:val="0"/>
          <w:bCs w:val="0"/>
          <w:color w:val="000000" w:themeColor="text1"/>
          <w:sz w:val="28"/>
          <w:szCs w:val="28"/>
          <w:lang w:val="en-US"/>
        </w:rPr>
        <w:t>Semenovich</w:t>
      </w:r>
      <w:proofErr w:type="spellEnd"/>
      <w:r w:rsidRPr="00B23AB2">
        <w:rPr>
          <w:rStyle w:val="a4"/>
          <w:b w:val="0"/>
          <w:bCs w:val="0"/>
          <w:color w:val="000000" w:themeColor="text1"/>
          <w:sz w:val="28"/>
          <w:szCs w:val="28"/>
          <w:lang w:val="en-US"/>
        </w:rPr>
        <w:t xml:space="preserve"> A.V.</w:t>
      </w:r>
      <w:r w:rsidR="006A7AF9">
        <w:rPr>
          <w:color w:val="000000" w:themeColor="text1"/>
          <w:sz w:val="28"/>
          <w:szCs w:val="28"/>
          <w:lang w:val="en-US"/>
        </w:rPr>
        <w:t xml:space="preserve"> </w:t>
      </w:r>
      <w:r w:rsidRPr="00B23AB2">
        <w:rPr>
          <w:rStyle w:val="a5"/>
          <w:rFonts w:eastAsiaTheme="majorEastAsia"/>
          <w:color w:val="000000" w:themeColor="text1"/>
          <w:sz w:val="28"/>
          <w:szCs w:val="28"/>
          <w:lang w:val="en-US"/>
        </w:rPr>
        <w:t>Neuropsychological Correction in Childhood: Methodological Guidelines</w:t>
      </w:r>
      <w:r w:rsidRPr="00B23AB2">
        <w:rPr>
          <w:color w:val="000000" w:themeColor="text1"/>
          <w:sz w:val="28"/>
          <w:szCs w:val="28"/>
          <w:lang w:val="en-US"/>
        </w:rPr>
        <w:t xml:space="preserve"> / A.V. </w:t>
      </w:r>
      <w:proofErr w:type="spellStart"/>
      <w:r w:rsidRPr="00B23AB2">
        <w:rPr>
          <w:color w:val="000000" w:themeColor="text1"/>
          <w:sz w:val="28"/>
          <w:szCs w:val="28"/>
          <w:lang w:val="en-US"/>
        </w:rPr>
        <w:t>Semenovich</w:t>
      </w:r>
      <w:proofErr w:type="spellEnd"/>
      <w:r w:rsidRPr="00B23AB2">
        <w:rPr>
          <w:color w:val="000000" w:themeColor="text1"/>
          <w:sz w:val="28"/>
          <w:szCs w:val="28"/>
          <w:lang w:val="en-US"/>
        </w:rPr>
        <w:t xml:space="preserve">. — Moscow: </w:t>
      </w:r>
      <w:proofErr w:type="spellStart"/>
      <w:r w:rsidRPr="00B23AB2">
        <w:rPr>
          <w:color w:val="000000" w:themeColor="text1"/>
          <w:sz w:val="28"/>
          <w:szCs w:val="28"/>
          <w:lang w:val="en-US"/>
        </w:rPr>
        <w:t>Genezis</w:t>
      </w:r>
      <w:proofErr w:type="spellEnd"/>
      <w:r w:rsidRPr="00B23AB2">
        <w:rPr>
          <w:color w:val="000000" w:themeColor="text1"/>
          <w:sz w:val="28"/>
          <w:szCs w:val="28"/>
          <w:lang w:val="en-US"/>
        </w:rPr>
        <w:t>, 2007. — 474 p.</w:t>
      </w:r>
    </w:p>
    <w:p w14:paraId="6A34E087" w14:textId="13BA82F5" w:rsidR="00F605AE" w:rsidRPr="006A7AF9"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proofErr w:type="spellStart"/>
      <w:r w:rsidRPr="00B23AB2">
        <w:rPr>
          <w:rStyle w:val="a4"/>
          <w:b w:val="0"/>
          <w:bCs w:val="0"/>
          <w:color w:val="000000" w:themeColor="text1"/>
          <w:sz w:val="28"/>
          <w:szCs w:val="28"/>
          <w:lang w:val="en-US"/>
        </w:rPr>
        <w:t>Semago</w:t>
      </w:r>
      <w:proofErr w:type="spellEnd"/>
      <w:r w:rsidRPr="00B23AB2">
        <w:rPr>
          <w:rStyle w:val="a4"/>
          <w:b w:val="0"/>
          <w:bCs w:val="0"/>
          <w:color w:val="000000" w:themeColor="text1"/>
          <w:sz w:val="28"/>
          <w:szCs w:val="28"/>
          <w:lang w:val="en-US"/>
        </w:rPr>
        <w:t xml:space="preserve"> M.M.</w:t>
      </w:r>
      <w:r w:rsidRPr="00B23AB2">
        <w:rPr>
          <w:color w:val="000000" w:themeColor="text1"/>
          <w:sz w:val="28"/>
          <w:szCs w:val="28"/>
          <w:lang w:val="en-US"/>
        </w:rPr>
        <w:t>;</w:t>
      </w:r>
      <w:r w:rsidR="006A7AF9">
        <w:rPr>
          <w:color w:val="000000" w:themeColor="text1"/>
          <w:sz w:val="28"/>
          <w:szCs w:val="28"/>
          <w:lang w:val="en-US"/>
        </w:rPr>
        <w:t xml:space="preserve"> </w:t>
      </w:r>
      <w:proofErr w:type="spellStart"/>
      <w:r w:rsidRPr="00B23AB2">
        <w:rPr>
          <w:rStyle w:val="a4"/>
          <w:b w:val="0"/>
          <w:bCs w:val="0"/>
          <w:color w:val="000000" w:themeColor="text1"/>
          <w:sz w:val="28"/>
          <w:szCs w:val="28"/>
          <w:lang w:val="en-US"/>
        </w:rPr>
        <w:t>Semago</w:t>
      </w:r>
      <w:proofErr w:type="spellEnd"/>
      <w:r w:rsidRPr="00B23AB2">
        <w:rPr>
          <w:rStyle w:val="a4"/>
          <w:b w:val="0"/>
          <w:bCs w:val="0"/>
          <w:color w:val="000000" w:themeColor="text1"/>
          <w:sz w:val="28"/>
          <w:szCs w:val="28"/>
          <w:lang w:val="en-US"/>
        </w:rPr>
        <w:t xml:space="preserve"> </w:t>
      </w:r>
      <w:proofErr w:type="spellStart"/>
      <w:r w:rsidRPr="00B23AB2">
        <w:rPr>
          <w:rStyle w:val="a4"/>
          <w:b w:val="0"/>
          <w:bCs w:val="0"/>
          <w:color w:val="000000" w:themeColor="text1"/>
          <w:sz w:val="28"/>
          <w:szCs w:val="28"/>
          <w:lang w:val="en-US"/>
        </w:rPr>
        <w:t>N.Ya</w:t>
      </w:r>
      <w:proofErr w:type="spellEnd"/>
      <w:r w:rsidRPr="00B23AB2">
        <w:rPr>
          <w:rStyle w:val="a4"/>
          <w:b w:val="0"/>
          <w:bCs w:val="0"/>
          <w:color w:val="000000" w:themeColor="text1"/>
          <w:sz w:val="28"/>
          <w:szCs w:val="28"/>
          <w:lang w:val="en-US"/>
        </w:rPr>
        <w:t>.</w:t>
      </w:r>
      <w:r w:rsidRPr="00B23AB2">
        <w:rPr>
          <w:color w:val="000000" w:themeColor="text1"/>
          <w:sz w:val="28"/>
          <w:szCs w:val="28"/>
          <w:lang w:val="en-US"/>
        </w:rPr>
        <w:t> </w:t>
      </w:r>
      <w:r w:rsidRPr="00B23AB2">
        <w:rPr>
          <w:rStyle w:val="a5"/>
          <w:rFonts w:eastAsiaTheme="majorEastAsia"/>
          <w:color w:val="000000" w:themeColor="text1"/>
          <w:sz w:val="28"/>
          <w:szCs w:val="28"/>
          <w:lang w:val="en-US"/>
        </w:rPr>
        <w:t>Organization and Content of the Psychological and Pedagogical Council Activity in an Educational Organization: Methodological Manual</w:t>
      </w:r>
      <w:r w:rsidRPr="00B23AB2">
        <w:rPr>
          <w:color w:val="000000" w:themeColor="text1"/>
          <w:sz w:val="28"/>
          <w:szCs w:val="28"/>
          <w:lang w:val="en-US"/>
        </w:rPr>
        <w:t xml:space="preserve"> / M.M. </w:t>
      </w:r>
      <w:proofErr w:type="spellStart"/>
      <w:r w:rsidRPr="00B23AB2">
        <w:rPr>
          <w:color w:val="000000" w:themeColor="text1"/>
          <w:sz w:val="28"/>
          <w:szCs w:val="28"/>
          <w:lang w:val="en-US"/>
        </w:rPr>
        <w:t>Semago</w:t>
      </w:r>
      <w:proofErr w:type="spellEnd"/>
      <w:r w:rsidRPr="00B23AB2">
        <w:rPr>
          <w:color w:val="000000" w:themeColor="text1"/>
          <w:sz w:val="28"/>
          <w:szCs w:val="28"/>
          <w:lang w:val="en-US"/>
        </w:rPr>
        <w:t xml:space="preserve">, </w:t>
      </w:r>
      <w:proofErr w:type="spellStart"/>
      <w:r w:rsidRPr="00B23AB2">
        <w:rPr>
          <w:color w:val="000000" w:themeColor="text1"/>
          <w:sz w:val="28"/>
          <w:szCs w:val="28"/>
          <w:lang w:val="en-US"/>
        </w:rPr>
        <w:t>N.Ya</w:t>
      </w:r>
      <w:proofErr w:type="spellEnd"/>
      <w:r w:rsidRPr="00B23AB2">
        <w:rPr>
          <w:color w:val="000000" w:themeColor="text1"/>
          <w:sz w:val="28"/>
          <w:szCs w:val="28"/>
          <w:lang w:val="en-US"/>
        </w:rPr>
        <w:t xml:space="preserve">. </w:t>
      </w:r>
      <w:proofErr w:type="spellStart"/>
      <w:r w:rsidRPr="006A7AF9">
        <w:rPr>
          <w:color w:val="000000" w:themeColor="text1"/>
          <w:sz w:val="28"/>
          <w:szCs w:val="28"/>
          <w:lang w:val="en-US"/>
        </w:rPr>
        <w:t>Semago</w:t>
      </w:r>
      <w:proofErr w:type="spellEnd"/>
      <w:r w:rsidRPr="006A7AF9">
        <w:rPr>
          <w:color w:val="000000" w:themeColor="text1"/>
          <w:sz w:val="28"/>
          <w:szCs w:val="28"/>
          <w:lang w:val="en-US"/>
        </w:rPr>
        <w:t>. — Moscow: Training Center “</w:t>
      </w:r>
      <w:proofErr w:type="spellStart"/>
      <w:r w:rsidRPr="006A7AF9">
        <w:rPr>
          <w:color w:val="000000" w:themeColor="text1"/>
          <w:sz w:val="28"/>
          <w:szCs w:val="28"/>
          <w:lang w:val="en-US"/>
        </w:rPr>
        <w:t>Perspektiva</w:t>
      </w:r>
      <w:proofErr w:type="spellEnd"/>
      <w:r w:rsidRPr="006A7AF9">
        <w:rPr>
          <w:color w:val="000000" w:themeColor="text1"/>
          <w:sz w:val="28"/>
          <w:szCs w:val="28"/>
          <w:lang w:val="en-US"/>
        </w:rPr>
        <w:t>”, 2015. — 256 p.</w:t>
      </w:r>
    </w:p>
    <w:p w14:paraId="09968B5D" w14:textId="067D9190"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proofErr w:type="spellStart"/>
      <w:r w:rsidRPr="00B23AB2">
        <w:rPr>
          <w:rStyle w:val="a4"/>
          <w:b w:val="0"/>
          <w:bCs w:val="0"/>
          <w:color w:val="000000" w:themeColor="text1"/>
          <w:sz w:val="28"/>
          <w:szCs w:val="28"/>
          <w:lang w:val="en-US"/>
        </w:rPr>
        <w:t>Shipitsyna</w:t>
      </w:r>
      <w:proofErr w:type="spellEnd"/>
      <w:r w:rsidRPr="00B23AB2">
        <w:rPr>
          <w:rStyle w:val="a4"/>
          <w:b w:val="0"/>
          <w:bCs w:val="0"/>
          <w:color w:val="000000" w:themeColor="text1"/>
          <w:sz w:val="28"/>
          <w:szCs w:val="28"/>
          <w:lang w:val="en-US"/>
        </w:rPr>
        <w:t xml:space="preserve"> L.M.</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Psychology of Children with Intellectual Disabilities: Study Guide</w:t>
      </w:r>
      <w:r w:rsidRPr="00B23AB2">
        <w:rPr>
          <w:color w:val="000000" w:themeColor="text1"/>
          <w:sz w:val="28"/>
          <w:szCs w:val="28"/>
          <w:lang w:val="en-US"/>
        </w:rPr>
        <w:t xml:space="preserve"> / L.M. </w:t>
      </w:r>
      <w:proofErr w:type="spellStart"/>
      <w:r w:rsidRPr="00B23AB2">
        <w:rPr>
          <w:color w:val="000000" w:themeColor="text1"/>
          <w:sz w:val="28"/>
          <w:szCs w:val="28"/>
          <w:lang w:val="en-US"/>
        </w:rPr>
        <w:t>Shipitsyna</w:t>
      </w:r>
      <w:proofErr w:type="spellEnd"/>
      <w:r w:rsidRPr="00B23AB2">
        <w:rPr>
          <w:color w:val="000000" w:themeColor="text1"/>
          <w:sz w:val="28"/>
          <w:szCs w:val="28"/>
          <w:lang w:val="en-US"/>
        </w:rPr>
        <w:t>. — Saint Petersburg: Rech’, 2008. — 240 p.</w:t>
      </w:r>
    </w:p>
    <w:p w14:paraId="6F6D2CF9" w14:textId="4BB508A7"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Elkonin D.B.</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Psychology of Primary Schoolchild Learning</w:t>
      </w:r>
      <w:r w:rsidRPr="00B23AB2">
        <w:rPr>
          <w:color w:val="000000" w:themeColor="text1"/>
          <w:sz w:val="28"/>
          <w:szCs w:val="28"/>
          <w:lang w:val="en-US"/>
        </w:rPr>
        <w:t xml:space="preserve"> / D.B. Elkonin. — Moscow: </w:t>
      </w:r>
      <w:proofErr w:type="spellStart"/>
      <w:r w:rsidRPr="00B23AB2">
        <w:rPr>
          <w:color w:val="000000" w:themeColor="text1"/>
          <w:sz w:val="28"/>
          <w:szCs w:val="28"/>
          <w:lang w:val="en-US"/>
        </w:rPr>
        <w:t>Znanie</w:t>
      </w:r>
      <w:proofErr w:type="spellEnd"/>
      <w:r w:rsidRPr="00B23AB2">
        <w:rPr>
          <w:color w:val="000000" w:themeColor="text1"/>
          <w:sz w:val="28"/>
          <w:szCs w:val="28"/>
          <w:lang w:val="en-US"/>
        </w:rPr>
        <w:t>, 1974. — 64 p.</w:t>
      </w:r>
    </w:p>
    <w:p w14:paraId="4A634385" w14:textId="44E0A6FD"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Ayres A.J.</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Sensory Integration and the Child</w:t>
      </w:r>
      <w:r w:rsidRPr="00B23AB2">
        <w:rPr>
          <w:color w:val="000000" w:themeColor="text1"/>
          <w:sz w:val="28"/>
          <w:szCs w:val="28"/>
          <w:lang w:val="en-US"/>
        </w:rPr>
        <w:t> / A. J. Ayres. — Los Angeles: Western Psychological Services, 2005. — 224 p.</w:t>
      </w:r>
    </w:p>
    <w:p w14:paraId="5D2210EB" w14:textId="6D2384BE" w:rsidR="00F605AE" w:rsidRPr="00B23AB2" w:rsidRDefault="00F605AE" w:rsidP="00F94009">
      <w:pPr>
        <w:pStyle w:val="a3"/>
        <w:numPr>
          <w:ilvl w:val="0"/>
          <w:numId w:val="4"/>
        </w:numPr>
        <w:shd w:val="clear" w:color="auto" w:fill="FFFFFF"/>
        <w:spacing w:before="0" w:beforeAutospacing="0" w:after="0" w:afterAutospacing="0"/>
        <w:ind w:left="0" w:firstLine="709"/>
        <w:jc w:val="both"/>
        <w:rPr>
          <w:color w:val="000000" w:themeColor="text1"/>
          <w:sz w:val="28"/>
          <w:szCs w:val="28"/>
          <w:lang w:val="en-US"/>
        </w:rPr>
      </w:pPr>
      <w:r w:rsidRPr="00B23AB2">
        <w:rPr>
          <w:rStyle w:val="a4"/>
          <w:b w:val="0"/>
          <w:bCs w:val="0"/>
          <w:color w:val="000000" w:themeColor="text1"/>
          <w:sz w:val="28"/>
          <w:szCs w:val="28"/>
          <w:lang w:val="en-US"/>
        </w:rPr>
        <w:t>Shumway-Cook, A.</w:t>
      </w:r>
      <w:r w:rsidRPr="00B23AB2">
        <w:rPr>
          <w:color w:val="000000" w:themeColor="text1"/>
          <w:sz w:val="28"/>
          <w:szCs w:val="28"/>
          <w:lang w:val="en-US"/>
        </w:rPr>
        <w:t>;</w:t>
      </w:r>
      <w:r w:rsidR="006A7AF9">
        <w:rPr>
          <w:color w:val="000000" w:themeColor="text1"/>
          <w:sz w:val="28"/>
          <w:szCs w:val="28"/>
          <w:lang w:val="en-US"/>
        </w:rPr>
        <w:t xml:space="preserve"> </w:t>
      </w:r>
      <w:r w:rsidRPr="00B23AB2">
        <w:rPr>
          <w:rStyle w:val="a4"/>
          <w:b w:val="0"/>
          <w:bCs w:val="0"/>
          <w:color w:val="000000" w:themeColor="text1"/>
          <w:sz w:val="28"/>
          <w:szCs w:val="28"/>
          <w:lang w:val="en-US"/>
        </w:rPr>
        <w:t>Woollacott, M.H.</w:t>
      </w:r>
      <w:r w:rsidR="006A7AF9">
        <w:rPr>
          <w:rStyle w:val="a4"/>
          <w:b w:val="0"/>
          <w:bCs w:val="0"/>
          <w:color w:val="000000" w:themeColor="text1"/>
          <w:sz w:val="28"/>
          <w:szCs w:val="28"/>
          <w:lang w:val="en-US"/>
        </w:rPr>
        <w:t xml:space="preserve"> </w:t>
      </w:r>
      <w:r w:rsidRPr="00B23AB2">
        <w:rPr>
          <w:rStyle w:val="a5"/>
          <w:rFonts w:eastAsiaTheme="majorEastAsia"/>
          <w:color w:val="000000" w:themeColor="text1"/>
          <w:sz w:val="28"/>
          <w:szCs w:val="28"/>
          <w:lang w:val="en-US"/>
        </w:rPr>
        <w:t>Motor Control: Translating Research into Clinical Practice</w:t>
      </w:r>
      <w:r w:rsidRPr="00B23AB2">
        <w:rPr>
          <w:color w:val="000000" w:themeColor="text1"/>
          <w:sz w:val="28"/>
          <w:szCs w:val="28"/>
          <w:lang w:val="en-US"/>
        </w:rPr>
        <w:t> / A. Shumway-Cook, M.H. Woollacott. — 5th ed. — Philadelphia: Wolters Kluwer, 2017. — 640 p.</w:t>
      </w:r>
    </w:p>
    <w:p w14:paraId="7EE528C8" w14:textId="77777777" w:rsidR="00000000" w:rsidRPr="00B23AB2" w:rsidRDefault="00000000" w:rsidP="00F94009">
      <w:pPr>
        <w:ind w:firstLine="709"/>
        <w:jc w:val="both"/>
        <w:rPr>
          <w:rFonts w:ascii="Times New Roman" w:hAnsi="Times New Roman" w:cs="Times New Roman"/>
          <w:color w:val="000000" w:themeColor="text1"/>
          <w:sz w:val="28"/>
          <w:szCs w:val="28"/>
          <w:lang w:val="en-US"/>
        </w:rPr>
      </w:pPr>
    </w:p>
    <w:sectPr w:rsidR="00AC3332" w:rsidRPr="00B23AB2" w:rsidSect="001C2370">
      <w:pgSz w:w="11900" w:h="16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3D1"/>
    <w:multiLevelType w:val="multilevel"/>
    <w:tmpl w:val="2074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0E5976"/>
    <w:multiLevelType w:val="multilevel"/>
    <w:tmpl w:val="A302F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F630B0"/>
    <w:multiLevelType w:val="multilevel"/>
    <w:tmpl w:val="3D9CE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F870622"/>
    <w:multiLevelType w:val="multilevel"/>
    <w:tmpl w:val="085E4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44807072">
    <w:abstractNumId w:val="0"/>
  </w:num>
  <w:num w:numId="2" w16cid:durableId="1683817958">
    <w:abstractNumId w:val="3"/>
  </w:num>
  <w:num w:numId="3" w16cid:durableId="174662058">
    <w:abstractNumId w:val="2"/>
  </w:num>
  <w:num w:numId="4" w16cid:durableId="1815634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D86"/>
    <w:rsid w:val="000D568F"/>
    <w:rsid w:val="000E4EA1"/>
    <w:rsid w:val="001B2DDB"/>
    <w:rsid w:val="001C2370"/>
    <w:rsid w:val="00200382"/>
    <w:rsid w:val="0023088F"/>
    <w:rsid w:val="00240F0F"/>
    <w:rsid w:val="002D5B1D"/>
    <w:rsid w:val="003E6D86"/>
    <w:rsid w:val="006A7AF9"/>
    <w:rsid w:val="006D76A6"/>
    <w:rsid w:val="007B0404"/>
    <w:rsid w:val="007C66F7"/>
    <w:rsid w:val="007D4F70"/>
    <w:rsid w:val="007D6F07"/>
    <w:rsid w:val="007D7996"/>
    <w:rsid w:val="008379D0"/>
    <w:rsid w:val="008A1A09"/>
    <w:rsid w:val="009D2F5E"/>
    <w:rsid w:val="00A40E8C"/>
    <w:rsid w:val="00AB5115"/>
    <w:rsid w:val="00B23AB2"/>
    <w:rsid w:val="00B92826"/>
    <w:rsid w:val="00BE7551"/>
    <w:rsid w:val="00C431F6"/>
    <w:rsid w:val="00E10700"/>
    <w:rsid w:val="00E82575"/>
    <w:rsid w:val="00E97DE9"/>
    <w:rsid w:val="00EB3A96"/>
    <w:rsid w:val="00F605AE"/>
    <w:rsid w:val="00F94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4A6E7"/>
  <w14:defaultImageDpi w14:val="32767"/>
  <w15:chartTrackingRefBased/>
  <w15:docId w15:val="{D9801EF0-1E5D-8E4E-AC2D-C73E1A33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paragraph" w:styleId="1">
    <w:name w:val="heading 1"/>
    <w:basedOn w:val="a"/>
    <w:next w:val="a"/>
    <w:link w:val="10"/>
    <w:uiPriority w:val="9"/>
    <w:qFormat/>
    <w:rsid w:val="00240F0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link w:val="30"/>
    <w:uiPriority w:val="9"/>
    <w:qFormat/>
    <w:rsid w:val="003E6D86"/>
    <w:pPr>
      <w:spacing w:before="100" w:beforeAutospacing="1" w:after="100" w:afterAutospacing="1"/>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E6D86"/>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3E6D86"/>
    <w:pPr>
      <w:spacing w:before="100" w:beforeAutospacing="1" w:after="100" w:afterAutospacing="1"/>
    </w:pPr>
    <w:rPr>
      <w:rFonts w:ascii="Times New Roman" w:eastAsia="Times New Roman" w:hAnsi="Times New Roman" w:cs="Times New Roman"/>
      <w:lang w:eastAsia="ru-RU"/>
    </w:rPr>
  </w:style>
  <w:style w:type="character" w:styleId="a4">
    <w:name w:val="Strong"/>
    <w:basedOn w:val="a0"/>
    <w:uiPriority w:val="22"/>
    <w:qFormat/>
    <w:rsid w:val="003E6D86"/>
    <w:rPr>
      <w:b/>
      <w:bCs/>
    </w:rPr>
  </w:style>
  <w:style w:type="character" w:styleId="a5">
    <w:name w:val="Emphasis"/>
    <w:basedOn w:val="a0"/>
    <w:uiPriority w:val="20"/>
    <w:qFormat/>
    <w:rsid w:val="003E6D86"/>
    <w:rPr>
      <w:i/>
      <w:iCs/>
    </w:rPr>
  </w:style>
  <w:style w:type="character" w:customStyle="1" w:styleId="10">
    <w:name w:val="Заголовок 1 Знак"/>
    <w:basedOn w:val="a0"/>
    <w:link w:val="1"/>
    <w:uiPriority w:val="9"/>
    <w:rsid w:val="00240F0F"/>
    <w:rPr>
      <w:rFonts w:asciiTheme="majorHAnsi" w:eastAsiaTheme="majorEastAsia" w:hAnsiTheme="majorHAnsi" w:cstheme="majorBidi"/>
      <w:color w:val="2F5496" w:themeColor="accent1" w:themeShade="BF"/>
      <w:sz w:val="32"/>
      <w:szCs w:val="32"/>
    </w:rPr>
  </w:style>
  <w:style w:type="paragraph" w:styleId="a6">
    <w:name w:val="List Paragraph"/>
    <w:basedOn w:val="a"/>
    <w:uiPriority w:val="34"/>
    <w:qFormat/>
    <w:rsid w:val="00BE75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2968">
      <w:bodyDiv w:val="1"/>
      <w:marLeft w:val="0"/>
      <w:marRight w:val="0"/>
      <w:marTop w:val="0"/>
      <w:marBottom w:val="0"/>
      <w:divBdr>
        <w:top w:val="none" w:sz="0" w:space="0" w:color="auto"/>
        <w:left w:val="none" w:sz="0" w:space="0" w:color="auto"/>
        <w:bottom w:val="none" w:sz="0" w:space="0" w:color="auto"/>
        <w:right w:val="none" w:sz="0" w:space="0" w:color="auto"/>
      </w:divBdr>
    </w:div>
    <w:div w:id="289164038">
      <w:bodyDiv w:val="1"/>
      <w:marLeft w:val="0"/>
      <w:marRight w:val="0"/>
      <w:marTop w:val="0"/>
      <w:marBottom w:val="0"/>
      <w:divBdr>
        <w:top w:val="none" w:sz="0" w:space="0" w:color="auto"/>
        <w:left w:val="none" w:sz="0" w:space="0" w:color="auto"/>
        <w:bottom w:val="none" w:sz="0" w:space="0" w:color="auto"/>
        <w:right w:val="none" w:sz="0" w:space="0" w:color="auto"/>
      </w:divBdr>
    </w:div>
    <w:div w:id="759183138">
      <w:bodyDiv w:val="1"/>
      <w:marLeft w:val="0"/>
      <w:marRight w:val="0"/>
      <w:marTop w:val="0"/>
      <w:marBottom w:val="0"/>
      <w:divBdr>
        <w:top w:val="none" w:sz="0" w:space="0" w:color="auto"/>
        <w:left w:val="none" w:sz="0" w:space="0" w:color="auto"/>
        <w:bottom w:val="none" w:sz="0" w:space="0" w:color="auto"/>
        <w:right w:val="none" w:sz="0" w:space="0" w:color="auto"/>
      </w:divBdr>
    </w:div>
    <w:div w:id="863521371">
      <w:bodyDiv w:val="1"/>
      <w:marLeft w:val="0"/>
      <w:marRight w:val="0"/>
      <w:marTop w:val="0"/>
      <w:marBottom w:val="0"/>
      <w:divBdr>
        <w:top w:val="none" w:sz="0" w:space="0" w:color="auto"/>
        <w:left w:val="none" w:sz="0" w:space="0" w:color="auto"/>
        <w:bottom w:val="none" w:sz="0" w:space="0" w:color="auto"/>
        <w:right w:val="none" w:sz="0" w:space="0" w:color="auto"/>
      </w:divBdr>
    </w:div>
    <w:div w:id="918053786">
      <w:bodyDiv w:val="1"/>
      <w:marLeft w:val="0"/>
      <w:marRight w:val="0"/>
      <w:marTop w:val="0"/>
      <w:marBottom w:val="0"/>
      <w:divBdr>
        <w:top w:val="none" w:sz="0" w:space="0" w:color="auto"/>
        <w:left w:val="none" w:sz="0" w:space="0" w:color="auto"/>
        <w:bottom w:val="none" w:sz="0" w:space="0" w:color="auto"/>
        <w:right w:val="none" w:sz="0" w:space="0" w:color="auto"/>
      </w:divBdr>
    </w:div>
    <w:div w:id="1017341780">
      <w:bodyDiv w:val="1"/>
      <w:marLeft w:val="0"/>
      <w:marRight w:val="0"/>
      <w:marTop w:val="0"/>
      <w:marBottom w:val="0"/>
      <w:divBdr>
        <w:top w:val="none" w:sz="0" w:space="0" w:color="auto"/>
        <w:left w:val="none" w:sz="0" w:space="0" w:color="auto"/>
        <w:bottom w:val="none" w:sz="0" w:space="0" w:color="auto"/>
        <w:right w:val="none" w:sz="0" w:space="0" w:color="auto"/>
      </w:divBdr>
      <w:divsChild>
        <w:div w:id="68818680">
          <w:marLeft w:val="0"/>
          <w:marRight w:val="0"/>
          <w:marTop w:val="0"/>
          <w:marBottom w:val="0"/>
          <w:divBdr>
            <w:top w:val="none" w:sz="0" w:space="0" w:color="auto"/>
            <w:left w:val="none" w:sz="0" w:space="0" w:color="auto"/>
            <w:bottom w:val="none" w:sz="0" w:space="0" w:color="auto"/>
            <w:right w:val="none" w:sz="0" w:space="0" w:color="auto"/>
          </w:divBdr>
          <w:divsChild>
            <w:div w:id="805128287">
              <w:marLeft w:val="0"/>
              <w:marRight w:val="0"/>
              <w:marTop w:val="0"/>
              <w:marBottom w:val="0"/>
              <w:divBdr>
                <w:top w:val="none" w:sz="0" w:space="0" w:color="auto"/>
                <w:left w:val="none" w:sz="0" w:space="0" w:color="auto"/>
                <w:bottom w:val="none" w:sz="0" w:space="0" w:color="auto"/>
                <w:right w:val="none" w:sz="0" w:space="0" w:color="auto"/>
              </w:divBdr>
              <w:divsChild>
                <w:div w:id="64227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29823">
      <w:bodyDiv w:val="1"/>
      <w:marLeft w:val="0"/>
      <w:marRight w:val="0"/>
      <w:marTop w:val="0"/>
      <w:marBottom w:val="0"/>
      <w:divBdr>
        <w:top w:val="none" w:sz="0" w:space="0" w:color="auto"/>
        <w:left w:val="none" w:sz="0" w:space="0" w:color="auto"/>
        <w:bottom w:val="none" w:sz="0" w:space="0" w:color="auto"/>
        <w:right w:val="none" w:sz="0" w:space="0" w:color="auto"/>
      </w:divBdr>
    </w:div>
    <w:div w:id="1085225118">
      <w:bodyDiv w:val="1"/>
      <w:marLeft w:val="0"/>
      <w:marRight w:val="0"/>
      <w:marTop w:val="0"/>
      <w:marBottom w:val="0"/>
      <w:divBdr>
        <w:top w:val="none" w:sz="0" w:space="0" w:color="auto"/>
        <w:left w:val="none" w:sz="0" w:space="0" w:color="auto"/>
        <w:bottom w:val="none" w:sz="0" w:space="0" w:color="auto"/>
        <w:right w:val="none" w:sz="0" w:space="0" w:color="auto"/>
      </w:divBdr>
    </w:div>
    <w:div w:id="1106075954">
      <w:bodyDiv w:val="1"/>
      <w:marLeft w:val="0"/>
      <w:marRight w:val="0"/>
      <w:marTop w:val="0"/>
      <w:marBottom w:val="0"/>
      <w:divBdr>
        <w:top w:val="none" w:sz="0" w:space="0" w:color="auto"/>
        <w:left w:val="none" w:sz="0" w:space="0" w:color="auto"/>
        <w:bottom w:val="none" w:sz="0" w:space="0" w:color="auto"/>
        <w:right w:val="none" w:sz="0" w:space="0" w:color="auto"/>
      </w:divBdr>
      <w:divsChild>
        <w:div w:id="1342466904">
          <w:marLeft w:val="0"/>
          <w:marRight w:val="0"/>
          <w:marTop w:val="0"/>
          <w:marBottom w:val="0"/>
          <w:divBdr>
            <w:top w:val="none" w:sz="0" w:space="0" w:color="auto"/>
            <w:left w:val="none" w:sz="0" w:space="0" w:color="auto"/>
            <w:bottom w:val="none" w:sz="0" w:space="0" w:color="auto"/>
            <w:right w:val="none" w:sz="0" w:space="0" w:color="auto"/>
          </w:divBdr>
          <w:divsChild>
            <w:div w:id="955989178">
              <w:marLeft w:val="0"/>
              <w:marRight w:val="0"/>
              <w:marTop w:val="0"/>
              <w:marBottom w:val="0"/>
              <w:divBdr>
                <w:top w:val="none" w:sz="0" w:space="0" w:color="auto"/>
                <w:left w:val="none" w:sz="0" w:space="0" w:color="auto"/>
                <w:bottom w:val="none" w:sz="0" w:space="0" w:color="auto"/>
                <w:right w:val="none" w:sz="0" w:space="0" w:color="auto"/>
              </w:divBdr>
              <w:divsChild>
                <w:div w:id="1972400534">
                  <w:marLeft w:val="0"/>
                  <w:marRight w:val="0"/>
                  <w:marTop w:val="0"/>
                  <w:marBottom w:val="0"/>
                  <w:divBdr>
                    <w:top w:val="none" w:sz="0" w:space="0" w:color="auto"/>
                    <w:left w:val="none" w:sz="0" w:space="0" w:color="auto"/>
                    <w:bottom w:val="none" w:sz="0" w:space="0" w:color="auto"/>
                    <w:right w:val="none" w:sz="0" w:space="0" w:color="auto"/>
                  </w:divBdr>
                </w:div>
              </w:divsChild>
            </w:div>
            <w:div w:id="77099050">
              <w:marLeft w:val="0"/>
              <w:marRight w:val="0"/>
              <w:marTop w:val="0"/>
              <w:marBottom w:val="0"/>
              <w:divBdr>
                <w:top w:val="none" w:sz="0" w:space="0" w:color="auto"/>
                <w:left w:val="none" w:sz="0" w:space="0" w:color="auto"/>
                <w:bottom w:val="none" w:sz="0" w:space="0" w:color="auto"/>
                <w:right w:val="none" w:sz="0" w:space="0" w:color="auto"/>
              </w:divBdr>
              <w:divsChild>
                <w:div w:id="859393853">
                  <w:marLeft w:val="0"/>
                  <w:marRight w:val="0"/>
                  <w:marTop w:val="0"/>
                  <w:marBottom w:val="0"/>
                  <w:divBdr>
                    <w:top w:val="none" w:sz="0" w:space="0" w:color="auto"/>
                    <w:left w:val="none" w:sz="0" w:space="0" w:color="auto"/>
                    <w:bottom w:val="none" w:sz="0" w:space="0" w:color="auto"/>
                    <w:right w:val="none" w:sz="0" w:space="0" w:color="auto"/>
                  </w:divBdr>
                </w:div>
              </w:divsChild>
            </w:div>
            <w:div w:id="814957108">
              <w:marLeft w:val="0"/>
              <w:marRight w:val="0"/>
              <w:marTop w:val="0"/>
              <w:marBottom w:val="0"/>
              <w:divBdr>
                <w:top w:val="none" w:sz="0" w:space="0" w:color="auto"/>
                <w:left w:val="none" w:sz="0" w:space="0" w:color="auto"/>
                <w:bottom w:val="none" w:sz="0" w:space="0" w:color="auto"/>
                <w:right w:val="none" w:sz="0" w:space="0" w:color="auto"/>
              </w:divBdr>
              <w:divsChild>
                <w:div w:id="88193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820229">
      <w:bodyDiv w:val="1"/>
      <w:marLeft w:val="0"/>
      <w:marRight w:val="0"/>
      <w:marTop w:val="0"/>
      <w:marBottom w:val="0"/>
      <w:divBdr>
        <w:top w:val="none" w:sz="0" w:space="0" w:color="auto"/>
        <w:left w:val="none" w:sz="0" w:space="0" w:color="auto"/>
        <w:bottom w:val="none" w:sz="0" w:space="0" w:color="auto"/>
        <w:right w:val="none" w:sz="0" w:space="0" w:color="auto"/>
      </w:divBdr>
      <w:divsChild>
        <w:div w:id="1403790000">
          <w:marLeft w:val="0"/>
          <w:marRight w:val="0"/>
          <w:marTop w:val="0"/>
          <w:marBottom w:val="0"/>
          <w:divBdr>
            <w:top w:val="none" w:sz="0" w:space="0" w:color="auto"/>
            <w:left w:val="none" w:sz="0" w:space="0" w:color="auto"/>
            <w:bottom w:val="none" w:sz="0" w:space="0" w:color="auto"/>
            <w:right w:val="none" w:sz="0" w:space="0" w:color="auto"/>
          </w:divBdr>
          <w:divsChild>
            <w:div w:id="150952335">
              <w:marLeft w:val="0"/>
              <w:marRight w:val="0"/>
              <w:marTop w:val="0"/>
              <w:marBottom w:val="0"/>
              <w:divBdr>
                <w:top w:val="none" w:sz="0" w:space="0" w:color="auto"/>
                <w:left w:val="none" w:sz="0" w:space="0" w:color="auto"/>
                <w:bottom w:val="none" w:sz="0" w:space="0" w:color="auto"/>
                <w:right w:val="none" w:sz="0" w:space="0" w:color="auto"/>
              </w:divBdr>
              <w:divsChild>
                <w:div w:id="133209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125353">
      <w:bodyDiv w:val="1"/>
      <w:marLeft w:val="0"/>
      <w:marRight w:val="0"/>
      <w:marTop w:val="0"/>
      <w:marBottom w:val="0"/>
      <w:divBdr>
        <w:top w:val="none" w:sz="0" w:space="0" w:color="auto"/>
        <w:left w:val="none" w:sz="0" w:space="0" w:color="auto"/>
        <w:bottom w:val="none" w:sz="0" w:space="0" w:color="auto"/>
        <w:right w:val="none" w:sz="0" w:space="0" w:color="auto"/>
      </w:divBdr>
    </w:div>
    <w:div w:id="1591545703">
      <w:bodyDiv w:val="1"/>
      <w:marLeft w:val="0"/>
      <w:marRight w:val="0"/>
      <w:marTop w:val="0"/>
      <w:marBottom w:val="0"/>
      <w:divBdr>
        <w:top w:val="none" w:sz="0" w:space="0" w:color="auto"/>
        <w:left w:val="none" w:sz="0" w:space="0" w:color="auto"/>
        <w:bottom w:val="none" w:sz="0" w:space="0" w:color="auto"/>
        <w:right w:val="none" w:sz="0" w:space="0" w:color="auto"/>
      </w:divBdr>
    </w:div>
    <w:div w:id="1707559147">
      <w:bodyDiv w:val="1"/>
      <w:marLeft w:val="0"/>
      <w:marRight w:val="0"/>
      <w:marTop w:val="0"/>
      <w:marBottom w:val="0"/>
      <w:divBdr>
        <w:top w:val="none" w:sz="0" w:space="0" w:color="auto"/>
        <w:left w:val="none" w:sz="0" w:space="0" w:color="auto"/>
        <w:bottom w:val="none" w:sz="0" w:space="0" w:color="auto"/>
        <w:right w:val="none" w:sz="0" w:space="0" w:color="auto"/>
      </w:divBdr>
    </w:div>
    <w:div w:id="19533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2806</Words>
  <Characters>15995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Харченко</dc:creator>
  <cp:keywords/>
  <dc:description/>
  <cp:lastModifiedBy>Serega X</cp:lastModifiedBy>
  <cp:revision>4</cp:revision>
  <cp:lastPrinted>2026-01-28T17:36:00Z</cp:lastPrinted>
  <dcterms:created xsi:type="dcterms:W3CDTF">2026-01-27T17:32:00Z</dcterms:created>
  <dcterms:modified xsi:type="dcterms:W3CDTF">2026-01-28T19:07:00Z</dcterms:modified>
</cp:coreProperties>
</file>