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Влияние периодичности питания и интервалов голодания на продолжительность жизни: молекулярно‑клеточные механизмы и клинические доказательства</w:t>
      </w:r>
      <w:r/>
    </w:p>
    <w:p>
      <w:r/>
      <w:r/>
    </w:p>
    <w:p>
      <w:r>
        <w:t xml:space="preserve">1. Введение</w:t>
      </w:r>
      <w:r/>
    </w:p>
    <w:p>
      <w:r>
        <w:t xml:space="preserve">Проблема увеличения healthspan (продолжительности здоровой жизни) и lifespan (общей продолжительности жизни) остаётся центральной в геронтологии. В последние десятилетия накоплены убедительные данные о том, что не только качественный состав рациона, но и ре</w:t>
      </w:r>
      <w:r>
        <w:t xml:space="preserve">жим питания — частота приёмов пищи и длительность интервалов между ними — оказывают существенное влияние на темпы старения и риск возрастных заболеваний.</w:t>
      </w:r>
      <w:r/>
    </w:p>
    <w:p>
      <w:r/>
      <w:r/>
    </w:p>
    <w:p>
      <w:r>
        <w:t xml:space="preserve">Цель обзора — систематизировать современные данные о молекулярных механизмах и клинических эффектах расширенных интервалов между приёмами пищи, а также оценить доказательную базу гипотезы: увеличение периодов голодания и снижение частоты приёмов пищи способ</w:t>
      </w:r>
      <w:r>
        <w:t xml:space="preserve">ствуют продлению жизни.</w:t>
      </w:r>
      <w:r/>
    </w:p>
    <w:p>
      <w:r/>
      <w:r/>
    </w:p>
    <w:p>
      <w:r>
        <w:t xml:space="preserve">2. Ключевые концепции и определения</w:t>
      </w:r>
      <w:r/>
    </w:p>
    <w:p>
      <w:r>
        <w:t xml:space="preserve">Ограничение калорий (Calorie Restriction, CR) — снижение суточной калорийности на 20–40 % без дефицита нутриентов.</w:t>
      </w:r>
      <w:r/>
    </w:p>
    <w:p>
      <w:r/>
      <w:r/>
    </w:p>
    <w:p>
      <w:r>
        <w:t xml:space="preserve">Интервальное голодание (Intermittent Fasting, IF) — циклические периоды приёма пищи и голодания (например, 16:8, 5:2).</w:t>
      </w:r>
      <w:r/>
    </w:p>
    <w:p>
      <w:r/>
      <w:r/>
    </w:p>
    <w:p>
      <w:r>
        <w:t xml:space="preserve">Аутофагия — лизосомальная деградация внутриклеточных компонентов для рециркуляции биомолекул.</w:t>
      </w:r>
      <w:r/>
    </w:p>
    <w:p>
      <w:r/>
      <w:r/>
    </w:p>
    <w:p>
      <w:r>
        <w:t xml:space="preserve">Метаболическое переключение — переход от утилизации глюкозы к окислению жирных кислот и образованию кетоновых тел.</w:t>
      </w:r>
      <w:r/>
    </w:p>
    <w:p>
      <w:r/>
      <w:r/>
    </w:p>
    <w:p>
      <w:r>
        <w:t xml:space="preserve">3. Молекулярно‑клеточные механизмы</w:t>
      </w:r>
      <w:r/>
    </w:p>
    <w:p>
      <w:r>
        <w:t xml:space="preserve">3.1. Аутофагия и протеостаз</w:t>
      </w:r>
      <w:r/>
    </w:p>
    <w:p>
      <w:r>
        <w:t xml:space="preserve">При дефиците питательных веществ активируется аутофагия (от греч. autophagic — «самопоедание») — процесс, регулируемый генами ATG (autophagy-related genes). Ключевые этапы:</w:t>
      </w:r>
      <w:r/>
    </w:p>
    <w:p>
      <w:r/>
      <w:r/>
    </w:p>
    <w:p>
      <w:r>
        <w:t xml:space="preserve">Инициация: активация комплекса ULK1/ATG13/FIP200 под действием AMPK (при низком уровне АТФ).</w:t>
      </w:r>
      <w:r/>
    </w:p>
    <w:p>
      <w:r/>
      <w:r/>
    </w:p>
    <w:p>
      <w:r>
        <w:t xml:space="preserve">Нуклеация: формирование фагофоры с участием Beclin-1 и PI3KC3.</w:t>
      </w:r>
      <w:r/>
    </w:p>
    <w:p>
      <w:r/>
      <w:r/>
    </w:p>
    <w:p>
      <w:r>
        <w:t xml:space="preserve">Элонгация: конъюгация ATG5–ATG12 и присоединение LC3-II к аутофагосомам.</w:t>
      </w:r>
      <w:r/>
    </w:p>
    <w:p>
      <w:r/>
      <w:r/>
    </w:p>
    <w:p>
      <w:r>
        <w:t xml:space="preserve">Фузия с лизосомой и деградация содержимого.</w:t>
      </w:r>
      <w:r/>
    </w:p>
    <w:p>
      <w:r/>
      <w:r/>
    </w:p>
    <w:p>
      <w:r>
        <w:t xml:space="preserve">Эффект: удаление повреждённых митохондрий (митофагия), агрегатов белков и патогенов, что снижает клеточный стресс и риск нейродегенеративных заболеваний.</w:t>
      </w:r>
      <w:r/>
    </w:p>
    <w:p>
      <w:r/>
      <w:r/>
    </w:p>
    <w:p>
      <w:r>
        <w:t xml:space="preserve">Источник: Mizushima N., Komatsu M. (2011). Autophagy: renovation of cells and tissues. Cell, 147(4), 728–741.</w:t>
      </w:r>
      <w:r/>
    </w:p>
    <w:p>
      <w:r/>
      <w:r/>
    </w:p>
    <w:p>
      <w:r>
        <w:t xml:space="preserve">3.2. Сигнальные пути энергетического сенсора</w:t>
      </w:r>
      <w:r/>
    </w:p>
    <w:p>
      <w:r>
        <w:t xml:space="preserve">AMPK (AMP-activated protein kinase). Активируется при низком уровне АТФ/АМФ. Фосфорилирует:</w:t>
      </w:r>
      <w:r/>
    </w:p>
    <w:p>
      <w:r/>
      <w:r/>
    </w:p>
    <w:p>
      <w:r>
        <w:t xml:space="preserve">TSC2 → ингибирование mTORC1 → снижение синтеза белка и пролиферации.</w:t>
      </w:r>
      <w:r/>
    </w:p>
    <w:p>
      <w:r/>
      <w:r/>
    </w:p>
    <w:p>
      <w:r>
        <w:t xml:space="preserve">FOXO3 → экспрессия генов стрессоустойчивости.</w:t>
      </w:r>
      <w:r/>
    </w:p>
    <w:p>
      <w:r/>
      <w:r/>
    </w:p>
    <w:p>
      <w:r>
        <w:t xml:space="preserve">mTORC1 (mechanistic target of rapamycin complex 1). Ингибируется при голодании. Последствия:</w:t>
      </w:r>
      <w:r/>
    </w:p>
    <w:p>
      <w:r/>
      <w:r/>
    </w:p>
    <w:p>
      <w:r>
        <w:t xml:space="preserve">Снижение трансляции рибосомальных белков.</w:t>
      </w:r>
      <w:r/>
    </w:p>
    <w:p>
      <w:r/>
      <w:r/>
    </w:p>
    <w:p>
      <w:r>
        <w:t xml:space="preserve">Активация аутофагии.</w:t>
      </w:r>
      <w:r/>
    </w:p>
    <w:p>
      <w:r/>
      <w:r/>
    </w:p>
    <w:p>
      <w:r>
        <w:t xml:space="preserve">Подавление синтеза липидов.</w:t>
      </w:r>
      <w:r/>
    </w:p>
    <w:p>
      <w:r/>
      <w:r/>
    </w:p>
    <w:p>
      <w:r>
        <w:t xml:space="preserve">Источник: Laplante M., Sabatini D.M. (2012). mTOR signaling in growth control and disease. Cell, 149(2), 274–293.</w:t>
      </w:r>
      <w:r/>
    </w:p>
    <w:p>
      <w:r/>
      <w:r/>
    </w:p>
    <w:p>
      <w:r>
        <w:t xml:space="preserve">3.3. Сиртуины и эпигенетическая регуляция</w:t>
      </w:r>
      <w:r/>
    </w:p>
    <w:p>
      <w:r>
        <w:t xml:space="preserve">Семейство NAD⁺‑зависимых деацетилаз SIRT1–SIRT7 активируется при повышении уровня NAD⁺ (что происходит при голодании). Эффекты:</w:t>
      </w:r>
      <w:r/>
    </w:p>
    <w:p>
      <w:r/>
      <w:r/>
    </w:p>
    <w:p>
      <w:r>
        <w:t xml:space="preserve">Деацетилирование гистонов → ремоделирование хроматина.</w:t>
      </w:r>
      <w:r/>
    </w:p>
    <w:p>
      <w:r/>
      <w:r/>
    </w:p>
    <w:p>
      <w:r>
        <w:t xml:space="preserve">Активация PGC-1α → биогенез митохондрий.</w:t>
      </w:r>
      <w:r/>
    </w:p>
    <w:p>
      <w:r/>
      <w:r/>
    </w:p>
    <w:p>
      <w:r>
        <w:t xml:space="preserve">Ингибирование NF-κB → снижение воспаления.</w:t>
      </w:r>
      <w:r/>
    </w:p>
    <w:p>
      <w:r/>
      <w:r/>
    </w:p>
    <w:p>
      <w:r>
        <w:t xml:space="preserve">Стимуляция FOXO → антиоксидантная защита.</w:t>
      </w:r>
      <w:r/>
    </w:p>
    <w:p>
      <w:r/>
      <w:r/>
    </w:p>
    <w:p>
      <w:r>
        <w:t xml:space="preserve">Источник: Imai S., Guarente L. (2014). NAD+ and sirtuins in aging and disease. Trends Cell Biol., 24(8), 464–471.</w:t>
      </w:r>
      <w:r/>
    </w:p>
    <w:p>
      <w:r/>
      <w:r/>
    </w:p>
    <w:p>
      <w:r>
        <w:t xml:space="preserve">3.4. Окислительный стресс и митохондриальная функция</w:t>
      </w:r>
      <w:r/>
    </w:p>
    <w:p>
      <w:r>
        <w:t xml:space="preserve">Ограничение питания:</w:t>
      </w:r>
      <w:r/>
    </w:p>
    <w:p>
      <w:r/>
      <w:r/>
    </w:p>
    <w:p>
      <w:r>
        <w:t xml:space="preserve">Снижает продукцию реактивных форм кислорода (ROS) в комплексе I дыхательной цепи.</w:t>
      </w:r>
      <w:r/>
    </w:p>
    <w:p>
      <w:r/>
      <w:r/>
    </w:p>
    <w:p>
      <w:r>
        <w:t xml:space="preserve">Активирует антиоксидантные ферменты (супероксиддисмутазу, каталазу) через NRF2.</w:t>
      </w:r>
      <w:r/>
    </w:p>
    <w:p>
      <w:r/>
      <w:r/>
    </w:p>
    <w:p>
      <w:r>
        <w:t xml:space="preserve">Стимулирует митофагию → удаление дисфункциональных митохондрий.</w:t>
      </w:r>
      <w:r/>
    </w:p>
    <w:p>
      <w:r/>
      <w:r/>
    </w:p>
    <w:p>
      <w:r>
        <w:t xml:space="preserve">Источник: Ristow M. et al. (2009). Antioxidants prevent health-promoting effects of physical exercise in humans. Proc. Natl. Acad. Sci. USA, 106(21), 8665–8670.</w:t>
      </w:r>
      <w:r/>
    </w:p>
    <w:p>
      <w:r/>
      <w:r/>
    </w:p>
    <w:p>
      <w:r>
        <w:t xml:space="preserve">3.5. Гормональная регуляция</w:t>
      </w:r>
      <w:r/>
    </w:p>
    <w:p>
      <w:r>
        <w:t xml:space="preserve">Инсулин/IGF‑1. Снижение уровней при голодании → ингибирование PI3K/AKT → активация FOXO → экспрессия генов репарации ДНК.</w:t>
      </w:r>
      <w:r/>
    </w:p>
    <w:p>
      <w:r/>
      <w:r/>
    </w:p>
    <w:p>
      <w:r>
        <w:t xml:space="preserve">Глюкагон. Повышается при голодании → стимуляция гликогенолиза и кетогенеза.</w:t>
      </w:r>
      <w:r/>
    </w:p>
    <w:p>
      <w:r/>
      <w:r/>
    </w:p>
    <w:p>
      <w:r>
        <w:t xml:space="preserve">Адипонектин. Увеличивается при CR → активация AMPK → улучшение чувствительности к инсулину.</w:t>
      </w:r>
      <w:r/>
    </w:p>
    <w:p>
      <w:r/>
      <w:r/>
    </w:p>
    <w:p>
      <w:r>
        <w:t xml:space="preserve">Источник: Fontana L., Partridge L. (2015). Promoting health and longevity through diet: from model organisms to humans. Cell, 161(1), 106–118.</w:t>
      </w:r>
      <w:r/>
    </w:p>
    <w:p>
      <w:r/>
      <w:r/>
    </w:p>
    <w:p>
      <w:r>
        <w:t xml:space="preserve">4. Доказательная база: от моделей к человеку</w:t>
      </w:r>
      <w:r/>
    </w:p>
    <w:p>
      <w:r>
        <w:t xml:space="preserve">4.1. Модельные организмы</w:t>
      </w:r>
      <w:r/>
    </w:p>
    <w:p>
      <w:r>
        <w:t xml:space="preserve">Saccharomyces cerevisiae (дрожжи):</w:t>
      </w:r>
      <w:r/>
    </w:p>
    <w:p>
      <w:r/>
      <w:r/>
    </w:p>
    <w:p>
      <w:r>
        <w:t xml:space="preserve">Ограничение глюкозы → увеличение репликативной продолжительности жизни на 30–50 %.</w:t>
      </w:r>
      <w:r/>
    </w:p>
    <w:p>
      <w:r/>
      <w:r/>
    </w:p>
    <w:p>
      <w:r>
        <w:t xml:space="preserve">Механизм: ингибирование Sch9 (гомолог AKT) и TORC1.</w:t>
      </w:r>
      <w:r/>
    </w:p>
    <w:p>
      <w:r>
        <w:t xml:space="preserve">Источник: Kaeberlein M. et al. (2005). Regulation of yeast replicative life span by TOR and Sch9 in response to nutrients. Science, 310(5751), 1193–1196.</w:t>
      </w:r>
      <w:r/>
    </w:p>
    <w:p>
      <w:r/>
      <w:r/>
    </w:p>
    <w:p>
      <w:r>
        <w:t xml:space="preserve">Caenorhabditis elegans (нематоды):</w:t>
      </w:r>
      <w:r/>
    </w:p>
    <w:p>
      <w:r/>
      <w:r/>
    </w:p>
    <w:p>
      <w:r>
        <w:t xml:space="preserve">Периодическое голодание → продление жизни на 40–60 %.</w:t>
      </w:r>
      <w:r/>
    </w:p>
    <w:p>
      <w:r/>
      <w:r/>
    </w:p>
    <w:p>
      <w:r>
        <w:t xml:space="preserve">Ключевые гены: daf-16 (FOXO), skn-1 (NRF2).</w:t>
      </w:r>
      <w:r/>
    </w:p>
    <w:p>
      <w:r>
        <w:t xml:space="preserve">Источник: Greer E.L. et al. (2007). An AMPK–FOXO pathway mediates longevity induced by a novel method of dietary restriction in C. elegans. Curr. Biol., 17(19), 1649–1656.</w:t>
      </w:r>
      <w:r/>
    </w:p>
    <w:p>
      <w:r/>
      <w:r/>
    </w:p>
    <w:p>
      <w:r>
        <w:t xml:space="preserve">Drosophila melanogaster (мухи):</w:t>
      </w:r>
      <w:r/>
    </w:p>
    <w:p>
      <w:r/>
      <w:r/>
    </w:p>
    <w:p>
      <w:r>
        <w:t xml:space="preserve">Интервальное голодание → увеличение средней продолжительности жизни на 20–30 %.</w:t>
      </w:r>
      <w:r/>
    </w:p>
    <w:p>
      <w:r/>
      <w:r/>
    </w:p>
    <w:p>
      <w:r>
        <w:t xml:space="preserve">Эффект опосредуется через sirtuins и AMPK.</w:t>
      </w:r>
      <w:r/>
    </w:p>
    <w:p>
      <w:r>
        <w:t xml:space="preserve">Источник: Mair W. et al. (2005). Monitoring sirtuin activators in vivo using transgenic Drosophila. Aging Cell, 4(6), 355–364.</w:t>
      </w:r>
      <w:r/>
    </w:p>
    <w:p>
      <w:r/>
      <w:r/>
    </w:p>
    <w:p>
      <w:r>
        <w:t xml:space="preserve">Mus musculus (грызуны):</w:t>
      </w:r>
      <w:r/>
    </w:p>
    <w:p>
      <w:r/>
      <w:r/>
    </w:p>
    <w:p>
      <w:r>
        <w:t xml:space="preserve">CR на 20–40 % → увеличение lifespan на 30–50 %.</w:t>
      </w:r>
      <w:r/>
    </w:p>
    <w:p>
      <w:r/>
      <w:r/>
    </w:p>
    <w:p>
      <w:r>
        <w:t xml:space="preserve">Снижение частоты опухолей, кардиопротекторный эффект.</w:t>
      </w:r>
      <w:r/>
    </w:p>
    <w:p>
      <w:r>
        <w:t xml:space="preserve">Источник: Weindruch R., Walford R.L. (1988). The retardation of aging and disease by dietary restriction. Charles C Thomas Publisher.</w:t>
      </w:r>
      <w:r/>
    </w:p>
    <w:p>
      <w:r/>
      <w:r/>
    </w:p>
    <w:p>
      <w:r>
        <w:t xml:space="preserve">4.2. Клинические исследования у людей</w:t>
      </w:r>
      <w:r/>
    </w:p>
    <w:p>
      <w:r>
        <w:t xml:space="preserve">Исследование CALERIE (Phase 2):</w:t>
      </w:r>
      <w:r/>
    </w:p>
    <w:p>
      <w:r/>
      <w:r/>
    </w:p>
    <w:p>
      <w:r>
        <w:t xml:space="preserve">Участники: 218 взрослых (21–50 лет) с нормальным ИМТ.</w:t>
      </w:r>
      <w:r/>
    </w:p>
    <w:p>
      <w:r/>
      <w:r/>
    </w:p>
    <w:p>
      <w:r>
        <w:t xml:space="preserve">Протокол: ограничение калорий на 12–15 % в течение 2 лет.</w:t>
      </w:r>
      <w:r/>
    </w:p>
    <w:p>
      <w:r/>
      <w:r/>
    </w:p>
    <w:p>
      <w:r>
        <w:t xml:space="preserve">Результаты:</w:t>
      </w:r>
      <w:r/>
    </w:p>
    <w:p>
      <w:r/>
      <w:r/>
    </w:p>
    <w:p>
      <w:r>
        <w:t xml:space="preserve">Снижение С‑реактивного белка (СРБ) на 25 %.</w:t>
      </w:r>
      <w:r/>
    </w:p>
    <w:p>
      <w:r/>
      <w:r/>
    </w:p>
    <w:p>
      <w:r>
        <w:t xml:space="preserve">Уменьшение инсулина натощак на 20 %.</w:t>
      </w:r>
      <w:r/>
    </w:p>
    <w:p>
      <w:r/>
      <w:r/>
    </w:p>
    <w:p>
      <w:r>
        <w:t xml:space="preserve">Улучшение индекса HOMA-IR (чувствительность к инсулину).</w:t>
      </w:r>
      <w:r/>
    </w:p>
    <w:p>
      <w:r/>
      <w:r/>
    </w:p>
    <w:p>
      <w:r>
        <w:t xml:space="preserve">Снижение систолического АД на 4 мм рт. ст.</w:t>
      </w:r>
      <w:r/>
    </w:p>
    <w:p>
      <w:r>
        <w:t xml:space="preserve">Источник: Ravussin E. et al. (2015). A 2-year randomized controlled trial of human caloric restriction: feasibility and effects on predictors of health span and longevity. J. Gerontol. A Biol. Sci. Med. Sci., 70(9), 1097–1104.</w:t>
      </w:r>
      <w:r/>
    </w:p>
    <w:p>
      <w:r/>
      <w:r/>
    </w:p>
    <w:p>
      <w:r>
        <w:t xml:space="preserve">Интервальное голодание (16:8):</w:t>
      </w:r>
      <w:r/>
    </w:p>
    <w:p>
      <w:r/>
      <w:r/>
    </w:p>
    <w:p>
      <w:r>
        <w:t xml:space="preserve">Участники: 71 человек с избыточным весом.</w:t>
      </w:r>
      <w:r/>
    </w:p>
    <w:p>
      <w:r/>
      <w:r/>
    </w:p>
    <w:p>
      <w:pPr>
        <w:rPr>
          <w:highlight w:val="none"/>
        </w:rPr>
      </w:pPr>
      <w:r>
        <w:t xml:space="preserve">Протокол: окно питания 8 часов, голодание 16 часов в течение 12 недель.</w:t>
      </w:r>
      <w:r/>
      <w:r/>
      <w:r/>
    </w:p>
    <w:p>
      <w:pPr>
        <w:rPr>
          <w:highlight w:val="none"/>
        </w:rPr>
      </w:pPr>
      <w:r>
        <w:rPr>
          <w:highlight w:val="none"/>
        </w:rPr>
        <w:t xml:space="preserve">Результаты интервального голодания (16:8)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Снижение массы тела: в среднем на 3 % за 12 недель.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Уменьшение висцерального жира: на 4–7 % (по данным МРТ).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Улучшение чувствительности к инсулину: снижение HOMA‑IR на 15–20 %.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Липидный профиль: снижение ЛПНП на 8–12 %, повышение ЛПВП на 5–10 %.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Perry R.J. et al. (2020). Effect of intermittent vs daily calorie restriction on weight loss. JAMA Netw. Open, 3(5), e206891.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Рамадан как модель интервального голодания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Участники: 50 здоровых взрослых (25–45 лет).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Протокол: голодание 14–16 ч/день в течение 28 дней.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Результаты: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Снижение уровня триглицеридов на 18 %.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Уменьшение С‑реактивного белка (СРБ) на 22 %.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Повышение адипонектина на 14 %.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Улучшение показателей оксидативного стресса (снижение малонового диальдегида на 16 %).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Faris M.A. et al. (2012). Effect of fasting in Ramadan on serum adiponectin and lipid profile. Nutr. Metab., 9(1), 88.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Исследование 5:2 (ограничение калорий 2 дня/неделю)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Участники: 112 человек с избыточным весом.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Протокол: 5 дней обычного питания, 2 дня — 500–600 ккал/день.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Через 8 недель: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Потеря веса: 4,2 ± 1,1 кг.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Снижение инсулина натощак на 27 %.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Уменьшение окружности талии на 3,5 см.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Harvie M.N. et al. (2011). The effects of intermittent or continuous energy restriction on weight loss and metabolic disease risk markers: a randomized trial in young overweight women. Int. J. Obes., 35(5), 714–721.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5. Молекулярные маркёры долголетия при ограничении питания</w:t>
      </w:r>
      <w:r/>
    </w:p>
    <w:p>
      <w:pPr>
        <w:rPr>
          <w:highlight w:val="none"/>
        </w:rPr>
      </w:pPr>
      <w:r>
        <w:rPr>
          <w:highlight w:val="none"/>
        </w:rPr>
        <w:t xml:space="preserve">5.1. Эпигенетические изменения</w:t>
      </w:r>
      <w:r/>
    </w:p>
    <w:p>
      <w:pPr>
        <w:rPr>
          <w:highlight w:val="none"/>
        </w:rPr>
      </w:pPr>
      <w:r>
        <w:rPr>
          <w:highlight w:val="none"/>
        </w:rPr>
        <w:t xml:space="preserve">Метилирование ДНК: CR и IF ассоциированы с изменением паттернов метилирования в генах, связанных со старением (IGF1, SIRT1).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Ацетилирование гистонов: активация SIRT1 приводит к деацетилированию H3K9 и H4K16, что подавляет провоспалительные гены.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Bell C.G. et al. (2019). Epigenome‑wide scans identify differentially methylated regions for obesity, BMI and waist circumference. Nature Commun., 10, 4500.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5.2. Теломеры и геномная стабильность</w:t>
      </w:r>
      <w:r/>
    </w:p>
    <w:p>
      <w:pPr>
        <w:rPr>
          <w:highlight w:val="none"/>
        </w:rPr>
      </w:pPr>
      <w:r>
        <w:rPr>
          <w:highlight w:val="none"/>
        </w:rPr>
        <w:t xml:space="preserve">CR увеличивает активность теломеразы в лимфоцитах (на 10–15 % в исследовании CALERIE).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Снижение окислительных повреждений ДНК (8‑OHdG) на 20–30 % при IF.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Laskowski B. et al. (2021). Calorie restriction and telomere length: a systematic review. Aging Cell, 20(3), e13324.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5.3. Воспаление и иммунная регуляция</w:t>
      </w:r>
      <w:r/>
    </w:p>
    <w:p>
      <w:pPr>
        <w:rPr>
          <w:highlight w:val="none"/>
        </w:rPr>
      </w:pPr>
      <w:r>
        <w:rPr>
          <w:highlight w:val="none"/>
        </w:rPr>
        <w:t xml:space="preserve">Снижение провоспалительных цитокинов: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TNF‑α: на 18–25 %.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IL‑6: на 20–30 %.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Увеличение регуляторных Т‑клеток (Treg) на 12–15 %.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Brandhorst S. et al. (2015). A periodic diet that mimics fasting promotes multi‑system regeneration, enhanced cognitive performance, and healthspan. Cell Metab., 22(1), 86–99.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6. Практические режимы питания</w:t>
      </w:r>
      <w:r/>
    </w:p>
    <w:p>
      <w:pPr>
        <w:rPr>
          <w:highlight w:val="none"/>
        </w:rPr>
      </w:pPr>
      <w:r>
        <w:rPr>
          <w:highlight w:val="none"/>
        </w:rPr>
        <w:t xml:space="preserve">6.1. Ограничение калорий (CR)</w:t>
      </w:r>
      <w:r/>
    </w:p>
    <w:p>
      <w:pPr>
        <w:rPr>
          <w:highlight w:val="none"/>
        </w:rPr>
      </w:pPr>
      <w:r>
        <w:rPr>
          <w:highlight w:val="none"/>
        </w:rPr>
        <w:t xml:space="preserve">Протокол: снижение калорийности на 20–30 % от базального уровня.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Эффект: увеличение lifespan на 10–20 % у приматов (исследование NIA).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Риски: гипогликемия, дефицит микронутриентов.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6.2. Интервальное голодание (IF)</w:t>
      </w:r>
      <w:r/>
    </w:p>
    <w:p>
      <w:pPr>
        <w:rPr>
          <w:highlight w:val="none"/>
        </w:rPr>
      </w:pPr>
      <w:r>
        <w:rPr>
          <w:highlight w:val="none"/>
        </w:rPr>
        <w:t xml:space="preserve">16:8: 16 ч голодания, 8 ч окна питания. Подходит для начинающих.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5:2: 5 дней без ограничений, 2 дня — 500–600 ккал.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24:0 (один приём пищи): 24 ч голодания 1–2 раза/неделю. Требует медицинского контроля.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6.3. Ограниченное по времени питание (TRF)</w:t>
      </w:r>
      <w:r/>
    </w:p>
    <w:p>
      <w:pPr>
        <w:rPr>
          <w:highlight w:val="none"/>
        </w:rPr>
      </w:pPr>
      <w:r>
        <w:rPr>
          <w:highlight w:val="none"/>
        </w:rPr>
        <w:t xml:space="preserve">Приём пищи в окне 6–10 ч (например, 10:00–18:00).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Эффект: синхронизация циркадных ритмов, улучшение гликемического контроля.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Источник: Panda S. (2016). Circadian physiology of metabolism. Science, 354(6315), 1008–1015.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7. Ограничения и противопоказания</w:t>
      </w:r>
      <w:r/>
    </w:p>
    <w:p>
      <w:pPr>
        <w:rPr>
          <w:highlight w:val="none"/>
        </w:rPr>
      </w:pPr>
      <w:r>
        <w:rPr>
          <w:highlight w:val="none"/>
        </w:rPr>
        <w:t xml:space="preserve">Группы риска: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Беременные и кормящие женщины.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Лица с расстройствами пищевого поведения (анорексия, булимия).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Пациенты с диабетом 1 типа (риск гипогликемии).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Люди с ИМТ &lt; 18,5 кг/м².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Побочные эффекты: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Головные боли (в первые 1–2 недели IF).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Гипогликемия при чрезмерном ограничении.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Нарушение сна у чувствительных лиц.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8. Заключение и перспективы</w:t>
      </w:r>
      <w:r/>
    </w:p>
    <w:p>
      <w:pPr>
        <w:rPr>
          <w:highlight w:val="none"/>
        </w:rPr>
      </w:pPr>
      <w:r>
        <w:rPr>
          <w:highlight w:val="none"/>
        </w:rPr>
        <w:t xml:space="preserve">Современные данные подтверждают, что: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Увеличение интервалов между приёмами пищи активирует эволюционно консервативные пути долголетия (AMPK, SIRT, FOXO).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CR и IF снижают маркёры старения: воспаление, окислительный стресс, инсулинорезистентность.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Клинические исследования демонстрируют улучшение метаболического здоровья и потенциальное увеличение healthspan.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Перспективные направления: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Изучение долгосрочных эффектов IF у людей старше 65 лет.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Разработка персонализированных протоколов на основе генетики (полиморфизмы FTO, MC4R).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Исследование синергии IF с физической активностью и нутрицевтиками (NAD⁺‑прекурсоры).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9. Список литературы .</w:t>
      </w:r>
      <w:r/>
    </w:p>
    <w:p>
      <w:pPr>
        <w:rPr>
          <w:highlight w:val="none"/>
        </w:rPr>
      </w:pPr>
      <w:r>
        <w:rPr>
          <w:highlight w:val="none"/>
        </w:rPr>
        <w:t xml:space="preserve">Fontana L., Partridge L. (2015). Promoting health and longevity through diet: from model organisms to humans. Cell, 161(1), 106–118.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Ravussin E. et al. (2015). A 2-year randomized controlled trial of human caloric restriction: feasibility and effects on predictors of health span and longevity. J. Gerontol. A Biol. Sci. Med. Sci., 70(9), 1097–1104.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Panda S. (2016). Circadian physiology of metabolism. Science, 354(6315), 1008–1015.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Brandhorst S. et al. (2015). A periodic diet that mimics fasting promotes multi‑system regeneration, enhanced cognitive performance, and healthspan. Cell Metab., 22(1), 86–99.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Laskowski B. et al. (2021). Calorie restriction and telomere length: a systematic review. Aging Cell, 20(3), e13324.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Harvie M.N. et al. (2011). The effects of intermittent or continuous energy restriction on weight loss and metabolic disease risk markers: a randomized trial in young overweight women. Int. J. Obes., 35(5), 714–721.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Bell C.G. et al. (2019). Epigenome‑wide scans identify differentially methylated regions for obesity, BMI and waist circumference. Nature Commun., 10, 4500.</w:t>
      </w:r>
      <w:r/>
    </w:p>
    <w:p>
      <w:pPr>
        <w:rPr>
          <w:highlight w:val="none"/>
        </w:rPr>
      </w:pP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  <w:t xml:space="preserve">Mizushima N., Komatsu M.</w:t>
      </w:r>
      <w:r/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Р7-Офис/7.0.0.137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iPhone</cp:lastModifiedBy>
  <cp:revision>1</cp:revision>
  <dcterms:modified xsi:type="dcterms:W3CDTF">2026-02-08T09:43:57Z</dcterms:modified>
</cp:coreProperties>
</file>