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widowControl w:val="off"/>
        <w:spacing w:before="1" w:after="0" w:line="240" w:lineRule="auto"/>
        <w:ind w:left="2955" w:right="-1"/>
        <w:jc w:val="right"/>
        <w:rPr>
          <w:rFonts w:ascii="Times New Roman" w:cs="Times New Roman" w:eastAsia="Calibri" w:hAnsi="Times New Roman"/>
          <w:sz w:val="22"/>
          <w:szCs w:val="22"/>
          <w:highlight w:val="none"/>
        </w:rPr>
      </w:pPr>
      <w:r>
        <w:rPr>
          <w:rFonts w:ascii="Times New Roman" w:cs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b w:val="off"/>
          <w:bCs w:val="off"/>
          <w:sz w:val="20"/>
          <w:szCs w:val="20"/>
        </w:rPr>
        <w:t xml:space="preserve"> </w:t>
      </w:r>
      <w:r>
        <w:rPr>
          <w:rFonts w:ascii="Times New Roman" w:cs="Times New Roman" w:eastAsia="Times New Roman" w:hAnsi="Times New Roman"/>
          <w:b w:val="off"/>
          <w:bCs w:val="off"/>
          <w:sz w:val="22"/>
          <w:szCs w:val="22"/>
        </w:rPr>
        <w:t xml:space="preserve"> </w:t>
      </w:r>
      <w:r>
        <w:rPr>
          <w:rFonts w:ascii="Times New Roman" w:cs="Times New Roman" w:eastAsia="Times New Roman" w:hAnsi="Times New Roman"/>
          <w:b w:val="off"/>
          <w:bCs w:val="off"/>
          <w:sz w:val="22"/>
          <w:szCs w:val="22"/>
          <w:highlight w:val="none"/>
          <w:lang w:val="ru-RU"/>
        </w:rPr>
        <w:t>Шкатов Д.И.</w:t>
      </w:r>
      <w:r>
        <w:rPr>
          <w:rFonts w:ascii="Times New Roman" w:cs="Times New Roman" w:eastAsia="Calibri" w:hAnsi="Times New Roman"/>
          <w:sz w:val="22"/>
          <w:szCs w:val="22"/>
          <w:highlight w:val="none"/>
        </w:rPr>
        <w:t>,</w:t>
      </w:r>
    </w:p>
    <w:p>
      <w:pPr>
        <w:widowControl w:val="off"/>
        <w:spacing w:before="1" w:after="0" w:line="240" w:lineRule="auto"/>
        <w:ind w:left="2955" w:right="-1"/>
        <w:jc w:val="right"/>
        <w:rPr>
          <w:rFonts w:ascii="Times New Roman" w:cs="Times New Roman" w:eastAsia="Calibri" w:hAnsi="Times New Roman"/>
          <w:sz w:val="22"/>
          <w:szCs w:val="22"/>
          <w:lang w:val="ru-RU"/>
        </w:rPr>
      </w:pPr>
      <w:r>
        <w:rPr>
          <w:rFonts w:ascii="Times New Roman" w:cs="Times New Roman" w:eastAsia="Calibri" w:hAnsi="Times New Roman"/>
          <w:sz w:val="22"/>
          <w:szCs w:val="22"/>
        </w:rPr>
        <w:t xml:space="preserve"> 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с</w:t>
      </w:r>
      <w:r>
        <w:rPr>
          <w:rFonts w:ascii="Times New Roman" w:cs="Times New Roman" w:eastAsia="Calibri" w:hAnsi="Times New Roman"/>
          <w:sz w:val="22"/>
          <w:szCs w:val="22"/>
        </w:rPr>
        <w:t>тудент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,</w:t>
      </w:r>
    </w:p>
    <w:p>
      <w:pPr>
        <w:widowControl w:val="off"/>
        <w:spacing w:before="1" w:after="0" w:line="240" w:lineRule="auto"/>
        <w:ind w:right="-1"/>
        <w:jc w:val="right"/>
        <w:rPr>
          <w:rFonts w:ascii="Times New Roman" w:cs="Times New Roman" w:eastAsia="Calibri" w:hAnsi="Times New Roman"/>
          <w:sz w:val="22"/>
          <w:szCs w:val="22"/>
          <w:lang w:val="ru-RU"/>
        </w:rPr>
      </w:pPr>
      <w:r>
        <w:rPr>
          <w:rFonts w:ascii="Times New Roman" w:cs="Times New Roman" w:eastAsia="Calibri" w:hAnsi="Times New Roman"/>
          <w:sz w:val="22"/>
          <w:szCs w:val="22"/>
        </w:rPr>
        <w:t xml:space="preserve">Российская       академия       народного 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 xml:space="preserve">хозяйства и </w:t>
      </w:r>
    </w:p>
    <w:p>
      <w:pPr>
        <w:widowControl w:val="off"/>
        <w:spacing w:before="1" w:after="0" w:line="240" w:lineRule="auto"/>
        <w:ind w:right="-1"/>
        <w:jc w:val="right"/>
        <w:rPr>
          <w:rFonts w:ascii="Times New Roman" w:cs="Times New Roman" w:eastAsia="Calibri" w:hAnsi="Times New Roman"/>
          <w:sz w:val="22"/>
          <w:szCs w:val="22"/>
        </w:rPr>
      </w:pPr>
      <w:r>
        <w:rPr>
          <w:rFonts w:ascii="Times New Roman" w:cs="Times New Roman" w:eastAsia="Calibri" w:hAnsi="Times New Roman"/>
          <w:sz w:val="22"/>
          <w:szCs w:val="22"/>
        </w:rPr>
        <w:t xml:space="preserve">государственной  службы   при  Президенте 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Российской Федерации,</w:t>
      </w:r>
      <w:r>
        <w:rPr>
          <w:rFonts w:ascii="Times New Roman" w:cs="Times New Roman" w:eastAsia="Calibri" w:hAnsi="Times New Roman"/>
          <w:sz w:val="22"/>
          <w:szCs w:val="22"/>
        </w:rPr>
        <w:t xml:space="preserve"> </w:t>
      </w:r>
    </w:p>
    <w:p>
      <w:pPr>
        <w:spacing w:after="0" w:line="240" w:lineRule="auto"/>
        <w:ind w:firstLine="567"/>
        <w:jc w:val="right"/>
        <w:rPr>
          <w:rFonts w:ascii="Times New Roman" w:cs="Times New Roman" w:eastAsia="Calibri" w:hAnsi="Times New Roman"/>
          <w:sz w:val="22"/>
          <w:szCs w:val="22"/>
        </w:rPr>
      </w:pPr>
      <w:r>
        <w:rPr>
          <w:rFonts w:ascii="Times New Roman" w:cs="Times New Roman" w:eastAsia="Calibri" w:hAnsi="Times New Roman"/>
          <w:sz w:val="22"/>
          <w:szCs w:val="22"/>
        </w:rPr>
        <w:t>Липецкий  филиал,   г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ород</w:t>
      </w:r>
      <w:r>
        <w:rPr>
          <w:rFonts w:ascii="Times New Roman" w:cs="Times New Roman" w:eastAsia="Calibri" w:hAnsi="Times New Roman"/>
          <w:sz w:val="22"/>
          <w:szCs w:val="22"/>
        </w:rPr>
        <w:t xml:space="preserve"> Липецк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,</w:t>
      </w:r>
    </w:p>
    <w:p>
      <w:pPr>
        <w:spacing w:after="0" w:line="240" w:lineRule="auto"/>
        <w:ind w:firstLine="567"/>
        <w:jc w:val="right"/>
        <w:rPr>
          <w:rFonts w:ascii="Times New Roman" w:cs="Times New Roman" w:eastAsia="Calibri" w:hAnsi="Times New Roman"/>
          <w:sz w:val="22"/>
          <w:szCs w:val="22"/>
        </w:rPr>
      </w:pPr>
      <w:r>
        <w:rPr>
          <w:rFonts w:ascii="Times New Roman" w:cs="Times New Roman" w:eastAsia="Calibri" w:hAnsi="Times New Roman"/>
          <w:sz w:val="22"/>
          <w:szCs w:val="22"/>
          <w:lang w:val="en-US"/>
        </w:rPr>
        <w:t>shkatov.danil@bk.ru</w:t>
      </w:r>
      <w:r>
        <w:rPr>
          <w:rFonts w:ascii="Times New Roman" w:cs="Times New Roman" w:eastAsia="Calibri" w:hAnsi="Times New Roman"/>
          <w:sz w:val="22"/>
          <w:szCs w:val="22"/>
          <w:lang w:val="en-US"/>
        </w:rPr>
        <w:t>,</w:t>
      </w:r>
    </w:p>
    <w:p>
      <w:pPr>
        <w:spacing w:after="0" w:line="240" w:lineRule="auto"/>
        <w:ind w:firstLine="567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lang w:eastAsia="ru-RU"/>
        </w:rPr>
      </w:pPr>
      <w:r>
        <w:rPr>
          <w:rFonts w:ascii="Times New Roman" w:cs="Times New Roman" w:eastAsia="Calibri" w:hAnsi="Times New Roman"/>
          <w:sz w:val="22"/>
          <w:szCs w:val="22"/>
        </w:rPr>
        <w:t xml:space="preserve">                </w:t>
      </w:r>
      <w:r>
        <w:rPr>
          <w:rFonts w:ascii="Times New Roman" w:cs="Times New Roman" w:eastAsia="Calibri" w:hAnsi="Times New Roman"/>
          <w:sz w:val="22"/>
          <w:szCs w:val="22"/>
        </w:rPr>
        <w:t xml:space="preserve">Научный руководитель – 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Соловьев</w:t>
      </w:r>
      <w:r>
        <w:rPr>
          <w:rFonts w:ascii="Times New Roman" w:cs="Times New Roman" w:eastAsia="Calibri" w:hAnsi="Times New Roman"/>
          <w:sz w:val="22"/>
          <w:szCs w:val="22"/>
          <w:lang w:val="ru-RU"/>
        </w:rPr>
        <w:t>а В.В</w:t>
      </w:r>
      <w:r>
        <w:rPr>
          <w:rFonts w:ascii="Times New Roman" w:cs="Times New Roman" w:eastAsia="Calibri" w:hAnsi="Times New Roman"/>
          <w:sz w:val="22"/>
          <w:szCs w:val="22"/>
          <w:highlight w:val="none"/>
        </w:rPr>
        <w:t xml:space="preserve">., </w:t>
      </w:r>
      <w:r>
        <w:rPr>
          <w:rFonts w:ascii="Times New Roman" w:cs="Times New Roman" w:eastAsia="Calibri" w:hAnsi="Times New Roman"/>
          <w:sz w:val="22"/>
          <w:szCs w:val="22"/>
          <w:highlight w:val="none"/>
          <w:lang w:val="ru-RU"/>
        </w:rPr>
        <w:t>д-р ист.наук, проф.</w:t>
      </w:r>
    </w:p>
    <w:p>
      <w:pPr>
        <w:spacing w:after="0" w:line="240" w:lineRule="auto"/>
        <w:jc w:val="right"/>
        <w:rPr>
          <w:rFonts w:ascii="Times New Roman" w:cs="Times New Roman" w:eastAsia="Times New Roman" w:hAnsi="Times New Roman"/>
          <w:b/>
          <w:color w:val="000000"/>
          <w:sz w:val="20"/>
          <w:szCs w:val="20"/>
          <w:highlight w:val="yellow"/>
          <w:lang w:eastAsia="ru-RU"/>
        </w:rPr>
      </w:pPr>
    </w:p>
    <w:p>
      <w:pPr>
        <w:spacing w:after="0" w:line="240" w:lineRule="auto"/>
        <w:jc w:val="center"/>
        <w:rPr>
          <w:rFonts w:ascii="Times New Roman" w:cs="Times New Roman" w:eastAsia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2"/>
          <w:szCs w:val="22"/>
          <w:lang w:val="ru-RU" w:eastAsia="ru-RU"/>
        </w:rPr>
        <w:t>РАСОВОЕ ЗАКОНОДАТЕЛЬСТВО ФАШИСТКОЙ ГЕРМАНИИ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spacing w:after="0" w:line="240" w:lineRule="auto"/>
        <w:jc w:val="center"/>
        <w:rPr>
          <w:rFonts w:ascii="Times New Roman" w:cs="Times New Roman" w:eastAsia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0"/>
          <w:szCs w:val="20"/>
          <w:lang w:eastAsia="ru-RU"/>
        </w:rPr>
        <w:t>Аннотация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Данная научная статья посвящена комплексному анализу расового законодательства, принятого в нацистской Германии в период с 1933 по 1945 годы.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Исследование прослеживает эволюцию этого законодательства, начиная с первых дискриминационных мер и заканчивая апогеем геноцида, осуществляемого в рамках "окончательного решения еврейского вопроса".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В статье рассматриваются ключевые законодательные акты, такие как Нюрнбергские расовые законы 1935 года, а также многочисленные декреты и постановления, которые последовательно лишали еврейское население и другие группы, признанные "неполноценными", их гражданских прав, собственности и, в конечном итоге, жизни.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Особое внимание уделяется идеологическим основам расового законодательства, его связи с нацистской расовой теорией и пропагандой, а также механизмам его применения и исполнения.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eastAsia="Times New Roman" w:hAnsi="Times New Roman"/>
          <w:b/>
          <w:color w:val="000000"/>
          <w:sz w:val="20"/>
          <w:szCs w:val="20"/>
          <w:lang w:eastAsia="ru-RU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imes New Roman" w:cs="Times New Roman" w:eastAsia="Times New Roman" w:hAnsi="Times New Roman"/>
          <w:b/>
          <w:color w:val="000000"/>
          <w:sz w:val="20"/>
          <w:szCs w:val="20"/>
          <w:lang w:eastAsia="ru-RU"/>
        </w:rPr>
        <w:t xml:space="preserve">      </w:t>
      </w:r>
    </w:p>
    <w:p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Ключевые слова: </w:t>
      </w:r>
      <w:r>
        <w:rPr>
          <w:rFonts w:ascii="Times New Roman" w:cs="Times New Roman" w:eastAsia="Times New Roman" w:hAnsi="Times New Roman"/>
          <w:b w:val="off"/>
          <w:bCs w:val="off"/>
          <w:color w:val="000000"/>
          <w:sz w:val="24"/>
          <w:szCs w:val="24"/>
          <w:lang w:val="ru-RU" w:eastAsia="ru-RU"/>
        </w:rPr>
        <w:t>фашизм</w:t>
      </w:r>
      <w:r>
        <w:rPr>
          <w:rFonts w:ascii="Times New Roman" w:cs="Times New Roman" w:eastAsia="Times New Roman" w:hAnsi="Times New Roman"/>
          <w:b w:val="off"/>
          <w:bCs w:val="off"/>
          <w:color w:val="000000"/>
          <w:sz w:val="24"/>
          <w:szCs w:val="24"/>
          <w:lang w:val="ru-RU" w:eastAsia="ru-RU"/>
        </w:rPr>
        <w:t>;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>раса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>; режим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 xml:space="preserve">; конституция;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>законодательство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 xml:space="preserve">; государственная власть;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>террор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highlight w:val="none"/>
          <w:lang w:val="ru-RU" w:eastAsia="ru-RU"/>
        </w:rPr>
        <w:t xml:space="preserve">. </w:t>
      </w:r>
    </w:p>
    <w:p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eastAsia="Times New Roman" w:hAnsi="Times New Roman"/>
          <w:color w:val="000000"/>
          <w:sz w:val="20"/>
          <w:szCs w:val="20"/>
          <w:lang w:val="ru-RU"/>
        </w:rPr>
        <w:t xml:space="preserve">  </w:t>
      </w:r>
      <w:r>
        <w:rPr>
          <w:rFonts w:ascii="Times New Roman" w:cs="Times New Roman" w:eastAsia="Times New Roman" w:hAnsi="Times New Roman"/>
          <w:color w:val="000000"/>
          <w:sz w:val="24"/>
          <w:szCs w:val="24"/>
          <w:lang w:val="ru-RU"/>
        </w:rPr>
        <w:t>Расовая политика нацистской Германии представляла собой комплекс мер и законов, принятых в нацистской Германии при диктатуре Адольфа Гитлера и основанных на псевдонаучных и расистских доктринах, утверждавших превосходство мнимой "арийской расы", которая претендовала на научную легитимность. Это сочеталось с евгенической программой, направленной на «расовую гигиену» посредством принудительной стерилизации и уничтожения тех, кого они считали унтерменшами («недочеловеками»), что привело к Холокосту.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Нацистская политика маркировала многовековых жителей территории Германии, которые не были этническими немцами, такими как евреи (которые в нацистской расовой теории подчеркивались как семитский народ левантийского происхождения), цыгане (индоарийский народ, происходящий с Индийского субконтинента), наряду с подавляющим большинством славян (в основном этнических поляков, сербов, украинцев, русских, белорусов и т. Д.), И большинство неевропейцев как низшие неарийские недочеловеки (под нацистским присвоение термина "ариец") в расовой иерархии, которая ставила Herrenvolk ("расу господ") Volksgemeinschaft ("народное сообщество") на вершину.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Расовая политика нацистской партии и немецкого государства осуществлялась через Управление расовой политики, которое публиковало циркуляры и директивы для соответствующих административных органов, газет и образовательных учреждений.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Адольф Гитлер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и другие члены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 xml:space="preserve">нацистской партии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в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Веймарской республики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(1918–1933) находились под сильным влиянием ряда мыслителей XIX и начала XX века, а также сторонников философских, онтоэпистемологических и теоретических взглядов на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экологическую антропологию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научный расизм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холистическую науку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и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органицизм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в отношении формирования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сложных систем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и теоретического обоснования органически-расовых обществ.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В частности, одним из наиболее значимых идеологических источников для нацистов был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немецкий националистический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философ XIX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века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Иоганн Готлиб Фихте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 чьи труды вдохновляли Гитлера и других членов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нацистской партии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 а его идеи легли в основу философских и идеологических принципов нацистского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народнического национализма.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 xml:space="preserve">Арийская высшая раса, созданная Адольфом Гитлером и другими нацистами, делила людей на чистых арийцев и неарийцев (которых считали недочеловеками).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На вершине иерархии чистых арийцев находились немцы нордического типа и другие нордическо-арийские германские и североевропейские народы, включая голландцев, скандинавов и англичан.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Латиняне считались людьми несколько низшего сорта, но их терпели; а во французах, как полагали, было достаточно германской крови.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Представление о том, что немцы являются арийской Herrenvolk (арийской господствующей расой), широко распространялось среди населения Германии благодаря нацистской пропаганде и среди нацистских чиновников, особенно после того, как рейхскомиссар Украины Эрих Кох заявил: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“Мы — раса господ, которая должна помнить, что самый простой немецкий рабочий в расовом и биологическом отношении в тысячу раз ценнее, чем местное население”.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en-US"/>
        </w:rPr>
        <w:t>— Эрих Кох, 5 марта 1943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Нацисты считали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славян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неарийскими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«недочеловеками», которых немцы должны были поработить и истребить.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По мнению нацистов, в странах, где жили эти народы, существовали небольшие группы неславянских потомков немцев.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Эти люди прошли процесс «расовой селекции», чтобы определить, являются ли они «расово ценными». Если человек проходил отбор, его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fldChar w:fldCharType="begin"/>
      </w:r>
      <w:r>
        <w:instrText xml:space="preserve"> HYPERLINK "https://en.wikipedia.org/wiki/Germanisation" </w:instrText>
      </w:r>
      <w:r>
        <w:fldChar w:fldCharType="separate"/>
      </w:r>
      <w:r>
        <w:rPr>
          <w:rFonts w:ascii="Times New Roman" w:cs="Times New Roman" w:hAnsi="Times New Roman"/>
          <w:color w:val="6d6d6d"/>
          <w:sz w:val="24"/>
          <w:szCs w:val="24"/>
          <w:u w:val="single"/>
          <w:rtl w:val="off"/>
          <w:lang w:val="en-US"/>
        </w:rPr>
        <w:t>германизировали</w:t>
      </w:r>
      <w:r>
        <w:fldChar w:fldCharType="end"/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и насильно забирали из семьи, чтобы он рос немцем.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Этот секретный план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«Генеральный план «Восток»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был направлен на изгнание, порабощение и уничтожение большинства славянских народов.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В 1933 году в Германии проживало около 525 000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евреев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Дискриминация евреев началась сразу после захвата власти в стране в 1933 году.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Нацистская партия использовала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популистские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антисемитские взгляды для получения голосов избирателей.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Лица смешанного происхождения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были особенно проблематичны в их глазах.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Первый антисемитский закон был принят без четкого определения еврея.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Наконец, критерий был установлен для трех или четырех еврейских бабушек и дедушек; двое или один делали человека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i/>
          <w:color w:val="000000"/>
          <w:sz w:val="24"/>
          <w:szCs w:val="24"/>
          <w:rtl w:val="off"/>
          <w:lang w:val="en-US"/>
        </w:rPr>
        <w:t>Вредителем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В период с 1935 по 1936 год преследования евреев усилились, а процесс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набирал обороты.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В мае 1935 года евреям запретили служить в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вермахте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,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а летом того же года в магазинах и ресторанах появилась антисемитская пропаганда.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Нюрнбергские расовые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законы были приняты примерно в то же время, когда проходили крупные нацистские съезды в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Нюрнберге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; 15 сентября 1935 года был принят «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Закон о защите крови и чести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».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Сначала он криминализировал сексуальные отношения и браки только между немцами и евреями, а также трудоустройство немецких женщин евреями.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Позднее действие закона было распространено на «цыган, негров и их незаконнорожденных отпрысков». Это стало считаться уголовно наказуемым преступлением как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расовое загрязнение.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После этого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был принят «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Закон о гражданстве Рейха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», который в ноябре был дополнен указом. Согласно этому закону, гражданами могли считаться только люди «немецкого или родственного происхождения», то есть все евреи лишались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гражданства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и официально становились «подданными государства».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Это означало, что они были лишены основных гражданских прав, например права голоса.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 xml:space="preserve">Нацистская Германия начала преследовать цыган еще в 1936 году, когда их стали переселять в муниципальные лагеря для интернированных на окраинах городов.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 xml:space="preserve">Это стало прелюдией к депортации 23 000 цыган в концентрационные лагеря. «Чистокровные» цыгане считались нацистами арийцами.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Примерно 10% цыган считались расово чистыми.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Генрих Гиммлер предложил принять «Закон о цыганах», чтобы отделить их от немецкого народа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 xml:space="preserve">В "Майн Кампф", Гитлер описал детей от браков с африканскими солдатами-оккупантами как осквернение арийской расы "негритянской кровью на Рейне в сердце Европы".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Он считал, что "евреи были ответственны за то, что привезли негров в Рейнскую область, с конечной идеей опорочить белую расу, которую они ненавидят, и таким образом снизить ее культурный и политический уровень, чтобы еврей мог доминировать".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Он также подразумевал, что это был заговор со стороны французов, заявив, что население Франции погибло. становился все более "негрифицируемым".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По разным оценкам, в Германии на момент прихода нацистов к власти проживало от 5000 до 25 000 чернокожих.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По данным Мемориального музея Холокоста в США; «Хотя в Германии не было централизованной, систематической программы по убийству чернокожих, многие из них были заключены в тюрьмы, подвергнуты принудительной стерилизации и убиты нацистами. Неизвестно, сколько их было убито, возможно, сотни».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До прихода Гитлера к власти в Германии были популярны чернокожие артисты, но нацисты запретили джаз как «развращающую негритянскую музыку».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Политика в отношении поляков, русских и других славян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 xml:space="preserve"> Гитлер считал, что «организация русского государственного образования была не результатом политических способностей славян в России, а лишь прекрасным примером государственного созидательного потенциала немецкого элемента в низшей расе».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После вторжения в Советский Союз Гитлер поделился своими планами на будущее в отношении славян: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lang w:val="ru-RU"/>
        </w:rPr>
        <w:t>Что касается нелепых ста миллионов славян, то мы воспитаем лучших из них так, как сочтем нужным, а остальных изолируем в их собственных свинарниках. А тех, кто говорит о том, что нужно заботиться о местных жителях и цивилизовывать их, — в концлагерь!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Таким образом, научная статья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, посвященн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ru-RU"/>
        </w:rPr>
        <w:t>ая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анализу расового законодательства нацистской Германии, позволяет сделать ряд ключевых выводов, имеющих фундаментальное значение для понимания природы тоталитарных режимов, механизмов дискриминации и трагических последствий идеологически мотивированной политики.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b/>
          <w:bCs/>
          <w:sz w:val="20"/>
          <w:szCs w:val="20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 xml:space="preserve"> </w:t>
      </w:r>
    </w:p>
    <w:p>
      <w:pPr>
        <w:spacing w:line="240"/>
        <w:ind w:firstLine="567"/>
        <w:jc w:val="center"/>
        <w:rPr>
          <w:rFonts w:ascii="Times New Roman" w:cs="Times New Roman" w:hAnsi="Times New Roman"/>
          <w:b/>
          <w:bCs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4"/>
          <w:szCs w:val="24"/>
          <w:lang w:val="ru-RU"/>
        </w:rPr>
        <w:t>Список цитируемой литературы</w:t>
      </w:r>
    </w:p>
    <w:p>
      <w:pPr>
        <w:numPr>
          <w:ilvl w:val="0"/>
          <w:numId w:val="1"/>
        </w:numPr>
        <w:spacing w:line="240"/>
        <w:jc w:val="both"/>
        <w:rPr>
          <w:rFonts w:ascii="Times New Roman" w:cs="Times New Roman" w:hAnsi="Times New Roman"/>
          <w:b w:val="off"/>
          <w:bCs w:val="off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Буханов В.А.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. Гитлеровский “новый порядок” в Европе и его крах: учебное пособие для ВУЗов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/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В.А. Буханов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;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-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Москва: Издательство Юрайт, 2022. -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465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с.</w:t>
      </w:r>
    </w:p>
    <w:p>
      <w:pPr>
        <w:numPr>
          <w:ilvl w:val="0"/>
          <w:numId w:val="1"/>
        </w:numPr>
        <w:spacing w:line="240"/>
        <w:jc w:val="both"/>
        <w:rPr>
          <w:rFonts w:ascii="Times New Roman" w:cs="Times New Roman" w:hAnsi="Times New Roman"/>
          <w:b w:val="off"/>
          <w:bCs w:val="off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Попова А.В. История государства и права зарубежных стран нового и новейшего времени: учебное пособие для вузов / А.В. Попова; под редакцией Н.А. Фроловой, Н.И. Полищук. - Москва: Издательство Юрайт, 2025. - 226 с.</w:t>
      </w:r>
    </w:p>
    <w:p>
      <w:pPr>
        <w:numPr>
          <w:ilvl w:val="0"/>
          <w:numId w:val="1"/>
        </w:numPr>
        <w:spacing w:line="240"/>
        <w:jc w:val="both"/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Родин О.Ф.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История Германии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/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О.Ф.Родин; - Москва: Издательство Юрайт, 2026. - 398 с.  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</w:t>
      </w:r>
    </w:p>
    <w:p>
      <w:pPr>
        <w:numPr>
          <w:ilvl w:val="0"/>
          <w:numId w:val="1"/>
        </w:numPr>
        <w:spacing w:line="240"/>
        <w:jc w:val="both"/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Серебренникова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А.В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.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Уголовное право германии\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А.В.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Серебренникова; - Москва: Издательство Юрайт, 2025. - 124 с.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 </w:t>
      </w:r>
    </w:p>
    <w:p>
      <w:pPr>
        <w:numPr>
          <w:ilvl w:val="0"/>
          <w:numId w:val="1"/>
        </w:numPr>
        <w:spacing w:line="240"/>
        <w:jc w:val="both"/>
        <w:rPr>
          <w:rFonts w:ascii="Times New Roman" w:cs="Times New Roman" w:hAnsi="Times New Roman"/>
          <w:b w:val="off"/>
          <w:bCs w:val="off"/>
          <w:sz w:val="24"/>
          <w:szCs w:val="24"/>
        </w:rPr>
      </w:pP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 xml:space="preserve">Васильев Л.С. История 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Германии</w:t>
      </w:r>
      <w:r>
        <w:rPr>
          <w:rFonts w:ascii="Times New Roman" w:cs="Times New Roman" w:hAnsi="Times New Roman"/>
          <w:b w:val="off"/>
          <w:bCs w:val="off"/>
          <w:sz w:val="24"/>
          <w:szCs w:val="24"/>
          <w:lang w:val="ru-RU"/>
        </w:rPr>
        <w:t>: учебник для вузов / Л.С. Васильев; под редакцией М.С. Мейер. - Москва: Издательство Юрайт, 2024. - 387 с.</w:t>
      </w:r>
    </w:p>
    <w:sectPr>
      <w:footnotePr/>
      <w:type w:val="nextPage"/>
      <w:pgSz w:w="8395" w:h="11908" w:orient="portrait"/>
      <w:pgMar w:top="1134" w:right="1134" w:bottom="1134" w:left="1134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circe">
    <w:charset w:val="00"/>
  </w:font>
  <w:font w:name="Segoe UI">
    <w:charset w:val="00"/>
  </w:font>
  <w:font w:name="sans-serif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1286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2006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727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3447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4167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887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607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6327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7047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</cp:coreProperties>
</file>