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1828B9" w14:textId="77777777" w:rsidR="00660D2D" w:rsidRDefault="00660D2D" w:rsidP="00660D2D">
      <w:pPr>
        <w:pStyle w:val="ds-markdown-paragraph"/>
        <w:spacing w:before="0" w:beforeAutospacing="0" w:after="0" w:afterAutospacing="0"/>
        <w:ind w:firstLine="709"/>
        <w:jc w:val="right"/>
        <w:rPr>
          <w:sz w:val="28"/>
          <w:szCs w:val="28"/>
        </w:rPr>
      </w:pPr>
      <w:r w:rsidRPr="00660D2D">
        <w:rPr>
          <w:sz w:val="28"/>
          <w:szCs w:val="28"/>
        </w:rPr>
        <w:t>УДК: 347.1:004.7:339</w:t>
      </w:r>
    </w:p>
    <w:p w14:paraId="20DEF0B7" w14:textId="77777777" w:rsidR="00660D2D" w:rsidRPr="00660D2D" w:rsidRDefault="00660D2D" w:rsidP="00660D2D">
      <w:pPr>
        <w:pStyle w:val="ds-markdown-paragraph"/>
        <w:spacing w:before="0" w:beforeAutospacing="0" w:after="0" w:afterAutospacing="0"/>
        <w:ind w:firstLine="709"/>
        <w:jc w:val="right"/>
        <w:rPr>
          <w:sz w:val="28"/>
          <w:szCs w:val="28"/>
        </w:rPr>
      </w:pPr>
    </w:p>
    <w:p w14:paraId="23C5561A" w14:textId="77777777" w:rsidR="00660D2D" w:rsidRDefault="00660D2D" w:rsidP="00660D2D">
      <w:pPr>
        <w:pStyle w:val="ds-markdown-paragraph"/>
        <w:spacing w:before="0" w:beforeAutospacing="0" w:after="0" w:afterAutospacing="0"/>
        <w:ind w:firstLine="709"/>
        <w:jc w:val="both"/>
        <w:rPr>
          <w:rStyle w:val="a3"/>
          <w:sz w:val="28"/>
          <w:szCs w:val="28"/>
        </w:rPr>
      </w:pPr>
      <w:r w:rsidRPr="00660D2D">
        <w:rPr>
          <w:rStyle w:val="a3"/>
          <w:sz w:val="28"/>
          <w:szCs w:val="28"/>
        </w:rPr>
        <w:t>ПРАВОВОЕ РЕГУЛИРОВАНИЕ ЭЛЕКТРОННОЙ ТОРГОВЛИ И ЭЛЕКТРОННОЙ ПОДПИСИ</w:t>
      </w:r>
    </w:p>
    <w:p w14:paraId="6484F112" w14:textId="77777777" w:rsidR="00660D2D" w:rsidRPr="00660D2D" w:rsidRDefault="00660D2D" w:rsidP="00660D2D">
      <w:pPr>
        <w:pStyle w:val="ds-markdown-paragraph"/>
        <w:spacing w:before="0" w:beforeAutospacing="0" w:after="0" w:afterAutospacing="0"/>
        <w:ind w:firstLine="709"/>
        <w:jc w:val="both"/>
        <w:rPr>
          <w:sz w:val="28"/>
          <w:szCs w:val="28"/>
        </w:rPr>
      </w:pPr>
    </w:p>
    <w:p w14:paraId="5B212045" w14:textId="77777777" w:rsidR="00660D2D" w:rsidRDefault="00660D2D" w:rsidP="00660D2D">
      <w:pPr>
        <w:pStyle w:val="ds-markdown-paragraph"/>
        <w:spacing w:before="0" w:beforeAutospacing="0" w:after="0" w:afterAutospacing="0"/>
        <w:ind w:firstLine="709"/>
        <w:jc w:val="both"/>
        <w:rPr>
          <w:rStyle w:val="a3"/>
          <w:sz w:val="28"/>
          <w:szCs w:val="28"/>
          <w:lang w:val="en-US"/>
        </w:rPr>
      </w:pPr>
      <w:r w:rsidRPr="00660D2D">
        <w:rPr>
          <w:rStyle w:val="a3"/>
          <w:sz w:val="28"/>
          <w:szCs w:val="28"/>
          <w:lang w:val="en-US"/>
        </w:rPr>
        <w:t>LEGAL REGULATION OF E-COMMERCE AND ELECTRONIC SIGNATURE</w:t>
      </w:r>
    </w:p>
    <w:p w14:paraId="20DFE404" w14:textId="77777777" w:rsidR="00660D2D" w:rsidRPr="00660D2D" w:rsidRDefault="00660D2D" w:rsidP="00660D2D">
      <w:pPr>
        <w:pStyle w:val="ds-markdown-paragraph"/>
        <w:spacing w:before="0" w:beforeAutospacing="0" w:after="0" w:afterAutospacing="0"/>
        <w:ind w:firstLine="709"/>
        <w:jc w:val="both"/>
        <w:rPr>
          <w:sz w:val="28"/>
          <w:szCs w:val="28"/>
          <w:lang w:val="en-US"/>
        </w:rPr>
      </w:pPr>
    </w:p>
    <w:p w14:paraId="5FB7E0BC" w14:textId="42324E32" w:rsidR="00E51DD8" w:rsidRPr="00FE48C3" w:rsidRDefault="00E51DD8" w:rsidP="00E51DD8">
      <w:pPr>
        <w:spacing w:after="0" w:line="360" w:lineRule="auto"/>
        <w:jc w:val="right"/>
        <w:rPr>
          <w:rFonts w:ascii="Times New Roman" w:hAnsi="Times New Roman"/>
          <w:sz w:val="28"/>
          <w:szCs w:val="28"/>
        </w:rPr>
      </w:pPr>
      <w:r w:rsidRPr="00FE48C3">
        <w:rPr>
          <w:rFonts w:ascii="Times New Roman" w:hAnsi="Times New Roman"/>
          <w:sz w:val="28"/>
          <w:szCs w:val="28"/>
        </w:rPr>
        <w:t>СНЕГ СВЕТЛАНА</w:t>
      </w:r>
      <w:r>
        <w:rPr>
          <w:rFonts w:ascii="Times New Roman" w:hAnsi="Times New Roman"/>
          <w:sz w:val="28"/>
          <w:szCs w:val="28"/>
        </w:rPr>
        <w:t xml:space="preserve"> </w:t>
      </w:r>
      <w:r w:rsidRPr="00FE48C3">
        <w:rPr>
          <w:rFonts w:ascii="Times New Roman" w:hAnsi="Times New Roman"/>
          <w:sz w:val="28"/>
          <w:szCs w:val="28"/>
        </w:rPr>
        <w:t>БОРИСОВНА</w:t>
      </w:r>
    </w:p>
    <w:p w14:paraId="2C3580A9" w14:textId="77777777" w:rsidR="00E51DD8" w:rsidRPr="00FE48C3" w:rsidRDefault="00E51DD8" w:rsidP="00E51DD8">
      <w:pPr>
        <w:spacing w:after="0" w:line="360" w:lineRule="auto"/>
        <w:jc w:val="right"/>
        <w:rPr>
          <w:rFonts w:ascii="Times New Roman" w:hAnsi="Times New Roman"/>
          <w:sz w:val="28"/>
          <w:szCs w:val="28"/>
        </w:rPr>
      </w:pPr>
      <w:r w:rsidRPr="00FE48C3">
        <w:rPr>
          <w:rFonts w:ascii="Times New Roman" w:hAnsi="Times New Roman"/>
          <w:sz w:val="28"/>
          <w:szCs w:val="28"/>
        </w:rPr>
        <w:t xml:space="preserve">специалист по охране труда Архангельского регионального центра связи – структурного подразделения Ярославской дирекции связи </w:t>
      </w:r>
      <w:bookmarkStart w:id="0" w:name="_GoBack"/>
      <w:bookmarkEnd w:id="0"/>
      <w:r w:rsidRPr="00FE48C3">
        <w:rPr>
          <w:rFonts w:ascii="Times New Roman" w:hAnsi="Times New Roman"/>
          <w:sz w:val="28"/>
          <w:szCs w:val="28"/>
        </w:rPr>
        <w:t xml:space="preserve">– структурного подразделения Центральной станции связи филиала ОАО «РЖД», </w:t>
      </w:r>
    </w:p>
    <w:p w14:paraId="1B95B09C" w14:textId="0BD3F365" w:rsidR="00E51DD8" w:rsidRPr="002F7E4F" w:rsidRDefault="00E51DD8" w:rsidP="00E51DD8">
      <w:pPr>
        <w:spacing w:after="0" w:line="360" w:lineRule="auto"/>
        <w:ind w:firstLine="709"/>
        <w:jc w:val="right"/>
        <w:rPr>
          <w:rFonts w:ascii="Times New Roman" w:hAnsi="Times New Roman"/>
          <w:sz w:val="28"/>
          <w:szCs w:val="28"/>
        </w:rPr>
      </w:pPr>
      <w:r w:rsidRPr="00FE48C3">
        <w:rPr>
          <w:rFonts w:ascii="Times New Roman" w:hAnsi="Times New Roman"/>
          <w:sz w:val="28"/>
          <w:szCs w:val="28"/>
        </w:rPr>
        <w:t>г</w:t>
      </w:r>
      <w:r w:rsidRPr="002F7E4F">
        <w:rPr>
          <w:rFonts w:ascii="Times New Roman" w:hAnsi="Times New Roman"/>
          <w:sz w:val="28"/>
          <w:szCs w:val="28"/>
        </w:rPr>
        <w:t xml:space="preserve">. </w:t>
      </w:r>
      <w:r w:rsidRPr="00FE48C3">
        <w:rPr>
          <w:rFonts w:ascii="Times New Roman" w:hAnsi="Times New Roman"/>
          <w:sz w:val="28"/>
          <w:szCs w:val="28"/>
        </w:rPr>
        <w:t>Архангельск</w:t>
      </w:r>
    </w:p>
    <w:p w14:paraId="45CE261A" w14:textId="77777777" w:rsidR="00E51DD8" w:rsidRPr="00FE48C3" w:rsidRDefault="00E51DD8" w:rsidP="00E51DD8">
      <w:pPr>
        <w:pStyle w:val="HTML"/>
        <w:spacing w:line="360" w:lineRule="auto"/>
        <w:jc w:val="right"/>
        <w:rPr>
          <w:rStyle w:val="y2iqfc"/>
          <w:rFonts w:ascii="Times New Roman" w:hAnsi="Times New Roman" w:cs="Times New Roman"/>
          <w:color w:val="202124"/>
          <w:sz w:val="28"/>
          <w:szCs w:val="28"/>
          <w:lang w:val="en"/>
        </w:rPr>
      </w:pPr>
      <w:r w:rsidRPr="00FE48C3">
        <w:rPr>
          <w:rStyle w:val="y2iqfc"/>
          <w:rFonts w:ascii="Times New Roman" w:hAnsi="Times New Roman" w:cs="Times New Roman"/>
          <w:color w:val="202124"/>
          <w:sz w:val="28"/>
          <w:szCs w:val="28"/>
          <w:lang w:val="en"/>
        </w:rPr>
        <w:t>SN</w:t>
      </w:r>
      <w:r w:rsidRPr="00FE48C3">
        <w:rPr>
          <w:rStyle w:val="y2iqfc"/>
          <w:rFonts w:ascii="Times New Roman" w:hAnsi="Times New Roman" w:cs="Times New Roman"/>
          <w:color w:val="202124"/>
          <w:sz w:val="28"/>
          <w:szCs w:val="28"/>
          <w:lang w:val="en-US"/>
        </w:rPr>
        <w:t>EG</w:t>
      </w:r>
      <w:r w:rsidRPr="00FE48C3">
        <w:rPr>
          <w:rStyle w:val="y2iqfc"/>
          <w:rFonts w:ascii="Times New Roman" w:hAnsi="Times New Roman" w:cs="Times New Roman"/>
          <w:color w:val="202124"/>
          <w:sz w:val="28"/>
          <w:szCs w:val="28"/>
          <w:lang w:val="en"/>
        </w:rPr>
        <w:t xml:space="preserve"> SVETLANA BORISOVNA</w:t>
      </w:r>
    </w:p>
    <w:p w14:paraId="10988C50" w14:textId="77777777" w:rsidR="00E51DD8" w:rsidRPr="00FE48C3" w:rsidRDefault="00E51DD8" w:rsidP="00E51DD8">
      <w:pPr>
        <w:pStyle w:val="HTML"/>
        <w:spacing w:line="360" w:lineRule="auto"/>
        <w:jc w:val="right"/>
        <w:rPr>
          <w:rFonts w:ascii="Times New Roman" w:eastAsiaTheme="minorHAnsi" w:hAnsi="Times New Roman" w:cs="Times New Roman"/>
          <w:sz w:val="28"/>
          <w:szCs w:val="28"/>
          <w:lang w:val="en-US" w:eastAsia="en-US"/>
        </w:rPr>
      </w:pPr>
      <w:r w:rsidRPr="00FE48C3">
        <w:rPr>
          <w:rFonts w:ascii="Times New Roman" w:eastAsiaTheme="minorHAnsi" w:hAnsi="Times New Roman" w:cs="Times New Roman"/>
          <w:sz w:val="28"/>
          <w:szCs w:val="28"/>
          <w:lang w:val="en-US" w:eastAsia="en-US"/>
        </w:rPr>
        <w:t>occupational safety specialist of the Arkhangelsk Regional Communications Center - a structural unit of the Yaroslavl Communications Directorate - a structural unit of the central communication station of the branch of JSC Russian Railways</w:t>
      </w:r>
    </w:p>
    <w:p w14:paraId="483B24FA" w14:textId="77777777" w:rsidR="00660D2D" w:rsidRDefault="00660D2D" w:rsidP="00660D2D">
      <w:pPr>
        <w:pStyle w:val="ds-markdown-paragraph"/>
        <w:spacing w:before="0" w:beforeAutospacing="0" w:after="0" w:afterAutospacing="0"/>
        <w:ind w:firstLine="708"/>
        <w:jc w:val="both"/>
        <w:rPr>
          <w:sz w:val="28"/>
          <w:szCs w:val="28"/>
        </w:rPr>
      </w:pPr>
      <w:r w:rsidRPr="00660D2D">
        <w:rPr>
          <w:rStyle w:val="a3"/>
          <w:sz w:val="28"/>
          <w:szCs w:val="28"/>
        </w:rPr>
        <w:t>Аннотация:</w:t>
      </w:r>
    </w:p>
    <w:p w14:paraId="20065527" w14:textId="77777777" w:rsidR="00660D2D" w:rsidRPr="00660D2D" w:rsidRDefault="00660D2D" w:rsidP="00660D2D">
      <w:pPr>
        <w:pStyle w:val="ds-markdown-paragraph"/>
        <w:spacing w:before="0" w:beforeAutospacing="0" w:after="0" w:afterAutospacing="0"/>
        <w:ind w:firstLine="708"/>
        <w:jc w:val="both"/>
        <w:rPr>
          <w:sz w:val="28"/>
          <w:szCs w:val="28"/>
        </w:rPr>
      </w:pPr>
      <w:r w:rsidRPr="00660D2D">
        <w:rPr>
          <w:sz w:val="28"/>
          <w:szCs w:val="28"/>
        </w:rPr>
        <w:t>В статье исследуются актуальные проблемы правового регулирования электронной торговли в Российской Федерации сквозь призму института электронной подписи. На основе анализа доктринальных источников и судебной практики (включая определения Верховного Суда РФ и Конституционного Суда РФ) рассматривается роль электронной подписи как необходимого условия юридической значимости электронных сделок. Особое внимание уделяется анализу споров, связанных с компрометацией ключей подписи, признанием сделок недействительными, распределением рисков между участниками электронного взаимодействия и соблюдением формальных процедур в сфере государственных закупок. Автор приходит к выводу о последовательном формировании судебной практикой принципа повышенной ответственности владельцев электронной подписи и необходимости дальнейшего совершенствования правового механизма для защиты слабой стороны в правоотношении.</w:t>
      </w:r>
    </w:p>
    <w:p w14:paraId="2DFD73D7" w14:textId="77777777" w:rsidR="00660D2D" w:rsidRPr="00E51DD8" w:rsidRDefault="00660D2D" w:rsidP="00660D2D">
      <w:pPr>
        <w:pStyle w:val="ds-markdown-paragraph"/>
        <w:spacing w:before="0" w:beforeAutospacing="0" w:after="0" w:afterAutospacing="0"/>
        <w:ind w:firstLine="709"/>
        <w:jc w:val="both"/>
        <w:rPr>
          <w:rStyle w:val="a3"/>
          <w:sz w:val="28"/>
          <w:szCs w:val="28"/>
        </w:rPr>
      </w:pPr>
    </w:p>
    <w:p w14:paraId="6F51BB32" w14:textId="77777777" w:rsidR="00660D2D" w:rsidRDefault="00660D2D" w:rsidP="00660D2D">
      <w:pPr>
        <w:pStyle w:val="ds-markdown-paragraph"/>
        <w:spacing w:before="0" w:beforeAutospacing="0" w:after="0" w:afterAutospacing="0"/>
        <w:ind w:firstLine="709"/>
        <w:jc w:val="both"/>
        <w:rPr>
          <w:sz w:val="28"/>
          <w:szCs w:val="28"/>
          <w:lang w:val="en-US"/>
        </w:rPr>
      </w:pPr>
      <w:r w:rsidRPr="00660D2D">
        <w:rPr>
          <w:rStyle w:val="a3"/>
          <w:sz w:val="28"/>
          <w:szCs w:val="28"/>
          <w:lang w:val="en-US"/>
        </w:rPr>
        <w:t>Abstract:</w:t>
      </w:r>
    </w:p>
    <w:p w14:paraId="2D8760EE" w14:textId="77777777" w:rsidR="00660D2D" w:rsidRPr="00660D2D" w:rsidRDefault="00660D2D" w:rsidP="00660D2D">
      <w:pPr>
        <w:pStyle w:val="ds-markdown-paragraph"/>
        <w:spacing w:before="0" w:beforeAutospacing="0" w:after="0" w:afterAutospacing="0"/>
        <w:ind w:firstLine="709"/>
        <w:jc w:val="both"/>
        <w:rPr>
          <w:sz w:val="28"/>
          <w:szCs w:val="28"/>
          <w:lang w:val="en-US"/>
        </w:rPr>
      </w:pPr>
      <w:r w:rsidRPr="00660D2D">
        <w:rPr>
          <w:sz w:val="28"/>
          <w:szCs w:val="28"/>
          <w:lang w:val="en-US"/>
        </w:rPr>
        <w:t xml:space="preserve">The article examines current problems of legal regulation of e-commerce in the Russian Federation through the prism of the institution of electronic signature. Based on the analysis of doctrinal sources and judicial practice (including rulings of the Supreme Court of the Russian Federation and the Constitutional Court of the Russian Federation), the role of the electronic signature as a necessary condition for </w:t>
      </w:r>
      <w:r w:rsidRPr="00660D2D">
        <w:rPr>
          <w:sz w:val="28"/>
          <w:szCs w:val="28"/>
          <w:lang w:val="en-US"/>
        </w:rPr>
        <w:lastRenderedPageBreak/>
        <w:t>the legal validity of electronic transactions is considered. Special attention is paid to the analysis of disputes related to the compromise of signature keys, invalidation of transactions, distribution of risks among participants in electronic interaction, and compliance with formal procedures in the field of public procurement. The author concludes that judicial practice is consistently forming the principle of increased responsibility of electronic signature holders and the need for further improvement of the legal mechanism to protect the weaker party in the legal relationship.</w:t>
      </w:r>
    </w:p>
    <w:p w14:paraId="3D9E565D" w14:textId="77777777" w:rsidR="00660D2D" w:rsidRPr="00E51DD8" w:rsidRDefault="00660D2D" w:rsidP="00660D2D">
      <w:pPr>
        <w:pStyle w:val="ds-markdown-paragraph"/>
        <w:spacing w:before="0" w:beforeAutospacing="0" w:after="0" w:afterAutospacing="0"/>
        <w:ind w:firstLine="709"/>
        <w:jc w:val="both"/>
        <w:rPr>
          <w:rStyle w:val="a3"/>
          <w:sz w:val="28"/>
          <w:szCs w:val="28"/>
          <w:lang w:val="en-US"/>
        </w:rPr>
      </w:pPr>
    </w:p>
    <w:p w14:paraId="7E6407B2" w14:textId="77777777" w:rsidR="00660D2D" w:rsidRPr="00660D2D" w:rsidRDefault="00660D2D" w:rsidP="00660D2D">
      <w:pPr>
        <w:pStyle w:val="ds-markdown-paragraph"/>
        <w:spacing w:before="0" w:beforeAutospacing="0" w:after="0" w:afterAutospacing="0"/>
        <w:ind w:firstLine="709"/>
        <w:jc w:val="both"/>
        <w:rPr>
          <w:sz w:val="28"/>
          <w:szCs w:val="28"/>
        </w:rPr>
      </w:pPr>
      <w:r w:rsidRPr="00660D2D">
        <w:rPr>
          <w:rStyle w:val="a3"/>
          <w:sz w:val="28"/>
          <w:szCs w:val="28"/>
        </w:rPr>
        <w:t>Ключевые слова:</w:t>
      </w:r>
      <w:r w:rsidRPr="00660D2D">
        <w:rPr>
          <w:sz w:val="28"/>
          <w:szCs w:val="28"/>
        </w:rPr>
        <w:t> электронная торговля, электронная подпись, цифровизация экономики, судебная практика, электронная сделка, компрометация ключа, добросовестность, государственные закупки, удостоверяющий центр.</w:t>
      </w:r>
    </w:p>
    <w:p w14:paraId="5E8836AA" w14:textId="77777777" w:rsidR="00660D2D" w:rsidRPr="00E51DD8" w:rsidRDefault="00660D2D" w:rsidP="00660D2D">
      <w:pPr>
        <w:pStyle w:val="ds-markdown-paragraph"/>
        <w:spacing w:before="0" w:beforeAutospacing="0" w:after="0" w:afterAutospacing="0"/>
        <w:ind w:firstLine="709"/>
        <w:jc w:val="both"/>
        <w:rPr>
          <w:rStyle w:val="a3"/>
          <w:sz w:val="28"/>
          <w:szCs w:val="28"/>
        </w:rPr>
      </w:pPr>
    </w:p>
    <w:p w14:paraId="2AA61377" w14:textId="77777777" w:rsidR="00660D2D" w:rsidRPr="00660D2D" w:rsidRDefault="00660D2D" w:rsidP="00660D2D">
      <w:pPr>
        <w:pStyle w:val="ds-markdown-paragraph"/>
        <w:spacing w:before="0" w:beforeAutospacing="0" w:after="0" w:afterAutospacing="0"/>
        <w:ind w:firstLine="709"/>
        <w:jc w:val="both"/>
        <w:rPr>
          <w:sz w:val="28"/>
          <w:szCs w:val="28"/>
          <w:lang w:val="en-US"/>
        </w:rPr>
      </w:pPr>
      <w:r w:rsidRPr="00660D2D">
        <w:rPr>
          <w:rStyle w:val="a3"/>
          <w:sz w:val="28"/>
          <w:szCs w:val="28"/>
          <w:lang w:val="en-US"/>
        </w:rPr>
        <w:t>Keywords:</w:t>
      </w:r>
      <w:r w:rsidRPr="00660D2D">
        <w:rPr>
          <w:sz w:val="28"/>
          <w:szCs w:val="28"/>
          <w:lang w:val="en-US"/>
        </w:rPr>
        <w:t> e-commerce, electronic signature, digitalization of the economy, judicial practice, electronic transaction, key compromise, good faith, public procurement, certification authority.</w:t>
      </w:r>
    </w:p>
    <w:p w14:paraId="404591CD" w14:textId="77777777" w:rsidR="00660D2D" w:rsidRPr="00E51DD8" w:rsidRDefault="00660D2D" w:rsidP="00660D2D">
      <w:pPr>
        <w:pStyle w:val="ds-markdown-paragraph"/>
        <w:spacing w:before="0" w:beforeAutospacing="0" w:after="0" w:afterAutospacing="0"/>
        <w:ind w:firstLine="709"/>
        <w:jc w:val="both"/>
        <w:rPr>
          <w:rStyle w:val="a3"/>
          <w:sz w:val="28"/>
          <w:szCs w:val="28"/>
          <w:lang w:val="en-US"/>
        </w:rPr>
      </w:pPr>
    </w:p>
    <w:p w14:paraId="47F72995" w14:textId="77777777" w:rsidR="00660D2D" w:rsidRPr="00660D2D" w:rsidRDefault="00660D2D" w:rsidP="00660D2D">
      <w:pPr>
        <w:pStyle w:val="ds-markdown-paragraph"/>
        <w:spacing w:before="0" w:beforeAutospacing="0" w:after="0" w:afterAutospacing="0"/>
        <w:ind w:firstLine="709"/>
        <w:jc w:val="both"/>
        <w:rPr>
          <w:sz w:val="28"/>
          <w:szCs w:val="28"/>
        </w:rPr>
      </w:pPr>
      <w:r w:rsidRPr="00660D2D">
        <w:rPr>
          <w:rStyle w:val="a3"/>
          <w:sz w:val="28"/>
          <w:szCs w:val="28"/>
        </w:rPr>
        <w:t>Введение</w:t>
      </w:r>
    </w:p>
    <w:p w14:paraId="7003173C" w14:textId="77777777" w:rsidR="00660D2D" w:rsidRPr="00660D2D" w:rsidRDefault="00660D2D" w:rsidP="00660D2D">
      <w:pPr>
        <w:pStyle w:val="ds-markdown-paragraph"/>
        <w:spacing w:before="0" w:beforeAutospacing="0" w:after="0" w:afterAutospacing="0"/>
        <w:ind w:firstLine="709"/>
        <w:jc w:val="both"/>
        <w:rPr>
          <w:sz w:val="28"/>
          <w:szCs w:val="28"/>
        </w:rPr>
      </w:pPr>
      <w:r w:rsidRPr="00660D2D">
        <w:rPr>
          <w:sz w:val="28"/>
          <w:szCs w:val="28"/>
        </w:rPr>
        <w:t>Цифровая трансформация экономики привела к тому, что электронная торговля стала не просто альтернативным, а для многих секторов основным способом ведения бизнеса. Заключение договоров купли-продажи, оказания услуг, выполнение работ в сети Интернет невозможно представить без использования электронной подписи (ЭП), которая является тем юридическим инструментом, который придает сделкам, совершенным в цифровой форме, должную юридическую силу. Как справедливо отмечается в доктрине, квалифицированная электронная подпись сегодня выступает ключевым атрибутом электронного юридического документа, однако ее применение сопряжено с рядом проблем правоприменения [17]. Другие исследователи подчеркивают, что правовое регулирование электронной торговли и электронной подписи развивается параллельно, и эффективность первого напрямую зависит от совершенства второго [8, 20].</w:t>
      </w:r>
    </w:p>
    <w:p w14:paraId="419F5E65" w14:textId="77777777" w:rsidR="00660D2D" w:rsidRPr="00660D2D" w:rsidRDefault="00660D2D" w:rsidP="00660D2D">
      <w:pPr>
        <w:pStyle w:val="ds-markdown-paragraph"/>
        <w:spacing w:before="0" w:beforeAutospacing="0" w:after="0" w:afterAutospacing="0"/>
        <w:ind w:firstLine="709"/>
        <w:jc w:val="both"/>
        <w:rPr>
          <w:sz w:val="28"/>
          <w:szCs w:val="28"/>
        </w:rPr>
      </w:pPr>
      <w:r w:rsidRPr="00660D2D">
        <w:rPr>
          <w:sz w:val="28"/>
          <w:szCs w:val="28"/>
        </w:rPr>
        <w:t>Широкое распространение электронной торговли порождает множество правовых проблем: от мошенничества с использованием ЭП до споров о действительности сделок, совершенных без надлежащего волеизъявления стороны. Цель данной статьи – проанализировать современное состояние правового регулирования электронной торговли и практику применения законодательства об электронной подписи, выявив основные проблемы и тенденции их разрешения высшими судебными инстанциями.</w:t>
      </w:r>
    </w:p>
    <w:p w14:paraId="19F51D70" w14:textId="77777777" w:rsidR="00660D2D" w:rsidRPr="00660D2D" w:rsidRDefault="00660D2D" w:rsidP="00660D2D">
      <w:pPr>
        <w:pStyle w:val="ds-markdown-paragraph"/>
        <w:spacing w:before="0" w:beforeAutospacing="0" w:after="0" w:afterAutospacing="0"/>
        <w:ind w:firstLine="709"/>
        <w:jc w:val="both"/>
        <w:rPr>
          <w:sz w:val="28"/>
          <w:szCs w:val="28"/>
        </w:rPr>
      </w:pPr>
      <w:r w:rsidRPr="00660D2D">
        <w:rPr>
          <w:rStyle w:val="a3"/>
          <w:sz w:val="28"/>
          <w:szCs w:val="28"/>
        </w:rPr>
        <w:t>Правовая основа электронной торговли и роль электронной подписи</w:t>
      </w:r>
    </w:p>
    <w:p w14:paraId="6B7715DF" w14:textId="77777777" w:rsidR="00660D2D" w:rsidRPr="00660D2D" w:rsidRDefault="00660D2D" w:rsidP="00660D2D">
      <w:pPr>
        <w:pStyle w:val="ds-markdown-paragraph"/>
        <w:spacing w:before="0" w:beforeAutospacing="0" w:after="0" w:afterAutospacing="0"/>
        <w:ind w:firstLine="709"/>
        <w:jc w:val="both"/>
        <w:rPr>
          <w:sz w:val="28"/>
          <w:szCs w:val="28"/>
        </w:rPr>
      </w:pPr>
      <w:r w:rsidRPr="00660D2D">
        <w:rPr>
          <w:sz w:val="28"/>
          <w:szCs w:val="28"/>
        </w:rPr>
        <w:t xml:space="preserve">Базовым нормативным актом, регулирующим отношения в сфере использования ЭП, является Федеральный закон «Об электронной подписи». Он закрепляет понятие и виды электронных подписей (простая, усиленная неквалифицированная, усиленная квалифицированная), а также условия </w:t>
      </w:r>
      <w:r w:rsidRPr="00660D2D">
        <w:rPr>
          <w:sz w:val="28"/>
          <w:szCs w:val="28"/>
        </w:rPr>
        <w:lastRenderedPageBreak/>
        <w:t>признания электронных документов, подписанных ЭП, равнозначными документам на бумажных носителях.</w:t>
      </w:r>
    </w:p>
    <w:p w14:paraId="528EF117" w14:textId="77777777" w:rsidR="00660D2D" w:rsidRPr="00660D2D" w:rsidRDefault="00660D2D" w:rsidP="00660D2D">
      <w:pPr>
        <w:pStyle w:val="ds-markdown-paragraph"/>
        <w:spacing w:before="0" w:beforeAutospacing="0" w:after="0" w:afterAutospacing="0"/>
        <w:ind w:firstLine="709"/>
        <w:jc w:val="both"/>
        <w:rPr>
          <w:sz w:val="28"/>
          <w:szCs w:val="28"/>
        </w:rPr>
      </w:pPr>
      <w:r w:rsidRPr="00660D2D">
        <w:rPr>
          <w:sz w:val="28"/>
          <w:szCs w:val="28"/>
        </w:rPr>
        <w:t>Конституционно-правовые основы использования ЭП были предметом рассмотрения Конституционного Суда РФ. В своих определениях Суд неоднократно указывал, что положения Федерального закона «Об электронной подписи» сами по себе не могут рассматриваться как нарушающие конституционные права граждан, поскольку они направлены на создание правовых условий для использования электронных подписей и упорядочение отношений в этой сфере [1, 15].</w:t>
      </w:r>
    </w:p>
    <w:p w14:paraId="50C3DA8B" w14:textId="77777777" w:rsidR="00660D2D" w:rsidRPr="00660D2D" w:rsidRDefault="00660D2D" w:rsidP="00660D2D">
      <w:pPr>
        <w:pStyle w:val="ds-markdown-paragraph"/>
        <w:spacing w:before="0" w:beforeAutospacing="0" w:after="0" w:afterAutospacing="0"/>
        <w:ind w:firstLine="709"/>
        <w:jc w:val="both"/>
        <w:rPr>
          <w:sz w:val="28"/>
          <w:szCs w:val="28"/>
        </w:rPr>
      </w:pPr>
      <w:r w:rsidRPr="00660D2D">
        <w:rPr>
          <w:sz w:val="28"/>
          <w:szCs w:val="28"/>
        </w:rPr>
        <w:t>Особое значение для электронной торговли имеют нормы Гражданского кодекса РФ о форме сделки. Электронный документ, подписанный ЭП, признается совершенным в простой письменной форме. Это положение конкретизируется и в судебной практике. Так, в одном из определений Верховного Суда РФ суд указал, что используемая в системе дистанционного банковского обслуживания неквалифицированная электронная подпись позволяет достоверно определить лицо, подписавшее электронный документ, что является основанием для удовлетворения требований о взыскании задолженности по кредитному договору [11].</w:t>
      </w:r>
    </w:p>
    <w:p w14:paraId="04A3E283" w14:textId="77777777" w:rsidR="00660D2D" w:rsidRPr="00660D2D" w:rsidRDefault="00660D2D" w:rsidP="00660D2D">
      <w:pPr>
        <w:pStyle w:val="ds-markdown-paragraph"/>
        <w:spacing w:before="0" w:beforeAutospacing="0" w:after="0" w:afterAutospacing="0"/>
        <w:ind w:firstLine="709"/>
        <w:jc w:val="both"/>
        <w:rPr>
          <w:sz w:val="28"/>
          <w:szCs w:val="28"/>
        </w:rPr>
      </w:pPr>
      <w:r w:rsidRPr="00660D2D">
        <w:rPr>
          <w:rStyle w:val="a3"/>
          <w:sz w:val="28"/>
          <w:szCs w:val="28"/>
        </w:rPr>
        <w:t>Проблема волеизъявления и добросовестности владельца подписи</w:t>
      </w:r>
    </w:p>
    <w:p w14:paraId="1E35712A" w14:textId="77777777" w:rsidR="00660D2D" w:rsidRPr="00660D2D" w:rsidRDefault="00660D2D" w:rsidP="00660D2D">
      <w:pPr>
        <w:pStyle w:val="ds-markdown-paragraph"/>
        <w:spacing w:before="0" w:beforeAutospacing="0" w:after="0" w:afterAutospacing="0"/>
        <w:ind w:firstLine="709"/>
        <w:jc w:val="both"/>
        <w:rPr>
          <w:sz w:val="28"/>
          <w:szCs w:val="28"/>
        </w:rPr>
      </w:pPr>
      <w:r w:rsidRPr="00660D2D">
        <w:rPr>
          <w:sz w:val="28"/>
          <w:szCs w:val="28"/>
        </w:rPr>
        <w:t>Наиболее острые споры в судебной практике связаны с ситуациями, когда сторона отрицает факт совершения электронной сделки, утверждая, что подпись была использована без ее ведома. Исследователи справедливо отмечают, что проблема отсутствия ответственности за неправомерный доступ к электронным документам и подписям создает серьезные риски для участников оборота [9].</w:t>
      </w:r>
    </w:p>
    <w:p w14:paraId="03432D3B" w14:textId="77777777" w:rsidR="00660D2D" w:rsidRPr="00660D2D" w:rsidRDefault="00660D2D" w:rsidP="00660D2D">
      <w:pPr>
        <w:pStyle w:val="ds-markdown-paragraph"/>
        <w:spacing w:before="0" w:beforeAutospacing="0" w:after="0" w:afterAutospacing="0"/>
        <w:ind w:firstLine="709"/>
        <w:jc w:val="both"/>
        <w:rPr>
          <w:sz w:val="28"/>
          <w:szCs w:val="28"/>
        </w:rPr>
      </w:pPr>
      <w:r w:rsidRPr="00660D2D">
        <w:rPr>
          <w:sz w:val="28"/>
          <w:szCs w:val="28"/>
        </w:rPr>
        <w:t>Верховный Суд РФ сформулировал ключевой принцип: владелец сертификата ключа подписи несет ответственность за сохранность ключа и его конфиденциальность. В ряде определений Суд подчеркнул, что действия заемщика или клиента банка, не принявшего должных мер по сохранению конфиденциальности ключа электронной подписи и ссылающегося впоследствии на собственную неосмотрительность, не могут быть признаны отвечающими принципу добросовестности [2, 3]. Если платежное поручение подписано корректной ЭП клиента и содержит все необходимые реквизиты, банк не обязан анализировать IP-адрес или иные обстоятельства совершения операции и не несет ответственности за убытки [6, 13].</w:t>
      </w:r>
    </w:p>
    <w:p w14:paraId="432AE329" w14:textId="77777777" w:rsidR="00660D2D" w:rsidRPr="00660D2D" w:rsidRDefault="00660D2D" w:rsidP="00660D2D">
      <w:pPr>
        <w:pStyle w:val="ds-markdown-paragraph"/>
        <w:spacing w:before="0" w:beforeAutospacing="0" w:after="0" w:afterAutospacing="0"/>
        <w:ind w:firstLine="709"/>
        <w:jc w:val="both"/>
        <w:rPr>
          <w:sz w:val="28"/>
          <w:szCs w:val="28"/>
        </w:rPr>
      </w:pPr>
      <w:r w:rsidRPr="00660D2D">
        <w:rPr>
          <w:sz w:val="28"/>
          <w:szCs w:val="28"/>
        </w:rPr>
        <w:t>Аналогичный подход применяется и в спорах о поставке товаров. Подписание универсального передаточного документа (УПД) квалифицированной электронной подписью директора покупателя является надлежащим доказательством приемки товара и служит основанием для взыскания долга, даже если покупатель впоследствии заявляет об отсутствии правоотношений [4].</w:t>
      </w:r>
    </w:p>
    <w:p w14:paraId="5F59749C" w14:textId="77777777" w:rsidR="00660D2D" w:rsidRPr="00660D2D" w:rsidRDefault="00660D2D" w:rsidP="00660D2D">
      <w:pPr>
        <w:pStyle w:val="ds-markdown-paragraph"/>
        <w:spacing w:before="0" w:beforeAutospacing="0" w:after="0" w:afterAutospacing="0"/>
        <w:ind w:firstLine="709"/>
        <w:jc w:val="both"/>
        <w:rPr>
          <w:sz w:val="28"/>
          <w:szCs w:val="28"/>
        </w:rPr>
      </w:pPr>
      <w:r w:rsidRPr="00660D2D">
        <w:rPr>
          <w:sz w:val="28"/>
          <w:szCs w:val="28"/>
        </w:rPr>
        <w:t xml:space="preserve">В то же время суды защищают добросовестных участников оборота в случаях, когда факт фальсификации или использования подписи без волеизъявления доказан. Так, в одном из дел иск о признании недействительной электронной подписи юридического лица был </w:t>
      </w:r>
      <w:r w:rsidRPr="00660D2D">
        <w:rPr>
          <w:sz w:val="28"/>
          <w:szCs w:val="28"/>
        </w:rPr>
        <w:lastRenderedPageBreak/>
        <w:t>удовлетворен, поскольку было доказано, что ответчик без ведома истца создал квалифицированный сертификат ключа проверки электронной подписи на имя его генерального директора [10]. Аналогичная позиция нашла отражение и в деле о признании недействительным договора на регистрацию и формирование ключа ЭП, где была установлена фальсификация подписи директора [16].</w:t>
      </w:r>
    </w:p>
    <w:p w14:paraId="05DB77EA" w14:textId="77777777" w:rsidR="00660D2D" w:rsidRPr="00660D2D" w:rsidRDefault="00660D2D" w:rsidP="00660D2D">
      <w:pPr>
        <w:pStyle w:val="ds-markdown-paragraph"/>
        <w:spacing w:before="0" w:beforeAutospacing="0" w:after="0" w:afterAutospacing="0"/>
        <w:ind w:firstLine="709"/>
        <w:jc w:val="both"/>
        <w:rPr>
          <w:sz w:val="28"/>
          <w:szCs w:val="28"/>
        </w:rPr>
      </w:pPr>
      <w:r w:rsidRPr="00660D2D">
        <w:rPr>
          <w:rStyle w:val="a3"/>
          <w:sz w:val="28"/>
          <w:szCs w:val="28"/>
        </w:rPr>
        <w:t>Электронная подпись и соблюдение формальных процедур в электронной торговле</w:t>
      </w:r>
    </w:p>
    <w:p w14:paraId="4F940D6B" w14:textId="77777777" w:rsidR="00660D2D" w:rsidRPr="00660D2D" w:rsidRDefault="00660D2D" w:rsidP="00660D2D">
      <w:pPr>
        <w:pStyle w:val="ds-markdown-paragraph"/>
        <w:spacing w:before="0" w:beforeAutospacing="0" w:after="0" w:afterAutospacing="0"/>
        <w:ind w:firstLine="709"/>
        <w:jc w:val="both"/>
        <w:rPr>
          <w:sz w:val="28"/>
          <w:szCs w:val="28"/>
        </w:rPr>
      </w:pPr>
      <w:r w:rsidRPr="00660D2D">
        <w:rPr>
          <w:sz w:val="28"/>
          <w:szCs w:val="28"/>
        </w:rPr>
        <w:t xml:space="preserve">В сфере государственных и муниципальных закупок (электронная торговля в узком смысле) соблюдение требований к подписанию документов ЭП имеет решающее значение. </w:t>
      </w:r>
      <w:proofErr w:type="spellStart"/>
      <w:r w:rsidRPr="00660D2D">
        <w:rPr>
          <w:sz w:val="28"/>
          <w:szCs w:val="28"/>
        </w:rPr>
        <w:t>Неподписание</w:t>
      </w:r>
      <w:proofErr w:type="spellEnd"/>
      <w:r w:rsidRPr="00660D2D">
        <w:rPr>
          <w:sz w:val="28"/>
          <w:szCs w:val="28"/>
        </w:rPr>
        <w:t xml:space="preserve"> проекта контракта победителем закупки в установленный срок усиленной электронной подписью лица, имеющего право действовать от имени победителя, является основанием для признания его уклонившимся от заключения контракта [5, 14].</w:t>
      </w:r>
    </w:p>
    <w:p w14:paraId="7DD3B1A9" w14:textId="77777777" w:rsidR="00660D2D" w:rsidRPr="00660D2D" w:rsidRDefault="00660D2D" w:rsidP="00660D2D">
      <w:pPr>
        <w:pStyle w:val="ds-markdown-paragraph"/>
        <w:spacing w:before="0" w:beforeAutospacing="0" w:after="0" w:afterAutospacing="0"/>
        <w:ind w:firstLine="709"/>
        <w:jc w:val="both"/>
        <w:rPr>
          <w:sz w:val="28"/>
          <w:szCs w:val="28"/>
        </w:rPr>
      </w:pPr>
      <w:r w:rsidRPr="00660D2D">
        <w:rPr>
          <w:sz w:val="28"/>
          <w:szCs w:val="28"/>
        </w:rPr>
        <w:t>Вместе с тем, Верховный Суд РФ призывает антимонопольные органы и организаторов торгов не допускать излишнего формализма. В одном из определений Суд указал, что заказчик не вправе отказывать в допуске к участию, если не проверил наличие всех видов электронных подписей, которые могут быть использованы для подтверждения документов [12]. Более того, подчеркивается, что публикация объявления о проведении торгов без подписанных электронной цифровой подписью организатора торгов договора о задатке и проекта договора купли-продажи является нарушением [18].</w:t>
      </w:r>
    </w:p>
    <w:p w14:paraId="3D53A0E6" w14:textId="77777777" w:rsidR="00660D2D" w:rsidRPr="00660D2D" w:rsidRDefault="00660D2D" w:rsidP="00660D2D">
      <w:pPr>
        <w:pStyle w:val="ds-markdown-paragraph"/>
        <w:spacing w:before="0" w:beforeAutospacing="0" w:after="0" w:afterAutospacing="0"/>
        <w:ind w:firstLine="709"/>
        <w:jc w:val="both"/>
        <w:rPr>
          <w:sz w:val="28"/>
          <w:szCs w:val="28"/>
        </w:rPr>
      </w:pPr>
      <w:r w:rsidRPr="00660D2D">
        <w:rPr>
          <w:sz w:val="28"/>
          <w:szCs w:val="28"/>
        </w:rPr>
        <w:t>Важным является вопрос о возможности направления жалоб и обращений в госорганы без использования ЭП. В одном из определений Суд указал, что законодательство не содержит обязательных требований о подписании жалоб, поданных по электронной почте, именно электронной цифровой подписью [7]. Возвращение антимонопольным органом жалобы по причине отсутствия электронной подписи было названо «излишне формальным» и ограничивающим право на оперативное восстановление прав. Однако, если закон прямо требует наличия подписи, ее отсутствие влечет отказ в принятии обращения.</w:t>
      </w:r>
    </w:p>
    <w:p w14:paraId="4C505ED0" w14:textId="77777777" w:rsidR="00660D2D" w:rsidRPr="00660D2D" w:rsidRDefault="00660D2D" w:rsidP="00660D2D">
      <w:pPr>
        <w:pStyle w:val="ds-markdown-paragraph"/>
        <w:spacing w:before="0" w:beforeAutospacing="0" w:after="0" w:afterAutospacing="0"/>
        <w:ind w:firstLine="709"/>
        <w:jc w:val="both"/>
        <w:rPr>
          <w:sz w:val="28"/>
          <w:szCs w:val="28"/>
        </w:rPr>
      </w:pPr>
      <w:r w:rsidRPr="00660D2D">
        <w:rPr>
          <w:rStyle w:val="a3"/>
          <w:sz w:val="28"/>
          <w:szCs w:val="28"/>
        </w:rPr>
        <w:t>Выводы</w:t>
      </w:r>
    </w:p>
    <w:p w14:paraId="42522170" w14:textId="77777777" w:rsidR="00660D2D" w:rsidRPr="00660D2D" w:rsidRDefault="00660D2D" w:rsidP="00660D2D">
      <w:pPr>
        <w:pStyle w:val="ds-markdown-paragraph"/>
        <w:spacing w:before="0" w:beforeAutospacing="0" w:after="0" w:afterAutospacing="0"/>
        <w:ind w:firstLine="709"/>
        <w:jc w:val="both"/>
        <w:rPr>
          <w:sz w:val="28"/>
          <w:szCs w:val="28"/>
        </w:rPr>
      </w:pPr>
      <w:r w:rsidRPr="00660D2D">
        <w:rPr>
          <w:sz w:val="28"/>
          <w:szCs w:val="28"/>
        </w:rPr>
        <w:t>Проведенный анализ позволяет сделать следующие выводы:</w:t>
      </w:r>
    </w:p>
    <w:p w14:paraId="63D9914A" w14:textId="77777777" w:rsidR="00660D2D" w:rsidRPr="00660D2D" w:rsidRDefault="00660D2D" w:rsidP="00660D2D">
      <w:pPr>
        <w:pStyle w:val="ds-markdown-paragraph"/>
        <w:numPr>
          <w:ilvl w:val="0"/>
          <w:numId w:val="1"/>
        </w:numPr>
        <w:spacing w:before="0" w:beforeAutospacing="0" w:after="0" w:afterAutospacing="0"/>
        <w:ind w:left="0" w:firstLine="709"/>
        <w:jc w:val="both"/>
        <w:rPr>
          <w:sz w:val="28"/>
          <w:szCs w:val="28"/>
        </w:rPr>
      </w:pPr>
      <w:r w:rsidRPr="00660D2D">
        <w:rPr>
          <w:sz w:val="28"/>
          <w:szCs w:val="28"/>
        </w:rPr>
        <w:t>Электронная подпись является фундаментальным элементом системы электронной торговли, обеспечивающим юридическую значимость и доказательственную силу электронных сделок. Правовое регулирование в этой сфере в целом сформировано, но требует постоянного совершенствования с учетом развития технологий [8, 20].</w:t>
      </w:r>
    </w:p>
    <w:p w14:paraId="2CA7A84A" w14:textId="77777777" w:rsidR="00660D2D" w:rsidRPr="00660D2D" w:rsidRDefault="00660D2D" w:rsidP="00660D2D">
      <w:pPr>
        <w:pStyle w:val="ds-markdown-paragraph"/>
        <w:numPr>
          <w:ilvl w:val="0"/>
          <w:numId w:val="1"/>
        </w:numPr>
        <w:spacing w:before="0" w:beforeAutospacing="0" w:after="0" w:afterAutospacing="0"/>
        <w:ind w:left="0" w:firstLine="709"/>
        <w:jc w:val="both"/>
        <w:rPr>
          <w:sz w:val="28"/>
          <w:szCs w:val="28"/>
        </w:rPr>
      </w:pPr>
      <w:r w:rsidRPr="00660D2D">
        <w:rPr>
          <w:sz w:val="28"/>
          <w:szCs w:val="28"/>
        </w:rPr>
        <w:t>Судебная практика Верховного Суда РФ последовательно проводит принцип, согласно которому риск неблагоприятных последствий, связанных с использованием электронной подписи, лежит на ее владельце, который обязан обеспечивать конфиденциальность ключа. Действия владельца, не обеспечившего сохранность ключа, не признаются добросовестными [2, 3, 6].</w:t>
      </w:r>
    </w:p>
    <w:p w14:paraId="36EFE1A5" w14:textId="77777777" w:rsidR="00660D2D" w:rsidRPr="00660D2D" w:rsidRDefault="00660D2D" w:rsidP="00660D2D">
      <w:pPr>
        <w:pStyle w:val="ds-markdown-paragraph"/>
        <w:numPr>
          <w:ilvl w:val="0"/>
          <w:numId w:val="1"/>
        </w:numPr>
        <w:spacing w:before="0" w:beforeAutospacing="0" w:after="0" w:afterAutospacing="0"/>
        <w:ind w:left="0" w:firstLine="709"/>
        <w:jc w:val="both"/>
        <w:rPr>
          <w:sz w:val="28"/>
          <w:szCs w:val="28"/>
        </w:rPr>
      </w:pPr>
      <w:r w:rsidRPr="00660D2D">
        <w:rPr>
          <w:sz w:val="28"/>
          <w:szCs w:val="28"/>
        </w:rPr>
        <w:lastRenderedPageBreak/>
        <w:t>Одновременно суды пресекают злоупотребления, связанные с фальсификацией электронных подписей и их выпуском без ведома лица, защищая права добросовестных участников оборота [10, 16]. Это корреспондирует с доктринальными положениями о необходимости усиления ответственности за неправомерный доступ к электронным документам [9].</w:t>
      </w:r>
    </w:p>
    <w:p w14:paraId="2BB04AB6" w14:textId="77777777" w:rsidR="00660D2D" w:rsidRPr="00660D2D" w:rsidRDefault="00660D2D" w:rsidP="00660D2D">
      <w:pPr>
        <w:pStyle w:val="ds-markdown-paragraph"/>
        <w:numPr>
          <w:ilvl w:val="0"/>
          <w:numId w:val="1"/>
        </w:numPr>
        <w:spacing w:before="0" w:beforeAutospacing="0" w:after="0" w:afterAutospacing="0"/>
        <w:ind w:left="0" w:firstLine="709"/>
        <w:jc w:val="both"/>
        <w:rPr>
          <w:sz w:val="28"/>
          <w:szCs w:val="28"/>
        </w:rPr>
      </w:pPr>
      <w:r w:rsidRPr="00660D2D">
        <w:rPr>
          <w:sz w:val="28"/>
          <w:szCs w:val="28"/>
        </w:rPr>
        <w:t>В сфере административных и судебных процедур наметилась тенденция к отказу от излишнего формализма: отсутствие электронной подписи на обращении, поданном в электронном виде, не должно автоматически влечь отказ в его принятии, если закон не требует обязательного использования ЭП [7]. Однако там, где требование об ЭП установлено императивно (например, при подписании госконтрактов), его несоблюдение влечет однозначные негативные последствия [5, 14].</w:t>
      </w:r>
    </w:p>
    <w:p w14:paraId="252F04CE" w14:textId="77777777" w:rsidR="00660D2D" w:rsidRPr="00660D2D" w:rsidRDefault="00660D2D" w:rsidP="00660D2D">
      <w:pPr>
        <w:pStyle w:val="ds-markdown-paragraph"/>
        <w:numPr>
          <w:ilvl w:val="0"/>
          <w:numId w:val="1"/>
        </w:numPr>
        <w:spacing w:before="0" w:beforeAutospacing="0" w:after="0" w:afterAutospacing="0"/>
        <w:ind w:left="0" w:firstLine="709"/>
        <w:jc w:val="both"/>
        <w:rPr>
          <w:sz w:val="28"/>
          <w:szCs w:val="28"/>
        </w:rPr>
      </w:pPr>
      <w:r w:rsidRPr="00660D2D">
        <w:rPr>
          <w:sz w:val="28"/>
          <w:szCs w:val="28"/>
        </w:rPr>
        <w:t>Дальнейшее развитие правового регулирования должно быть направлено на усиление защиты потребителей как слабой стороны в электронной торговле, возможно, путем введения дополнительных гарантий для случаев мошеннического использования их электронной подписи, а также на унификацию требований к применению ЭП в различных сферах экономики.</w:t>
      </w:r>
    </w:p>
    <w:p w14:paraId="17D820C4" w14:textId="77777777" w:rsidR="00660D2D" w:rsidRPr="00660D2D" w:rsidRDefault="00660D2D" w:rsidP="00660D2D">
      <w:pPr>
        <w:pStyle w:val="ds-markdown-paragraph"/>
        <w:spacing w:before="0" w:beforeAutospacing="0" w:after="0" w:afterAutospacing="0"/>
        <w:ind w:firstLine="709"/>
        <w:jc w:val="both"/>
        <w:rPr>
          <w:sz w:val="28"/>
          <w:szCs w:val="28"/>
        </w:rPr>
      </w:pPr>
      <w:r w:rsidRPr="00660D2D">
        <w:rPr>
          <w:rStyle w:val="a3"/>
          <w:sz w:val="28"/>
          <w:szCs w:val="28"/>
        </w:rPr>
        <w:t>Список литературы</w:t>
      </w:r>
    </w:p>
    <w:p w14:paraId="596DAF15" w14:textId="77777777" w:rsidR="00660D2D" w:rsidRPr="00660D2D" w:rsidRDefault="00660D2D" w:rsidP="00660D2D">
      <w:pPr>
        <w:pStyle w:val="ds-markdown-paragraph"/>
        <w:numPr>
          <w:ilvl w:val="0"/>
          <w:numId w:val="2"/>
        </w:numPr>
        <w:spacing w:before="0" w:beforeAutospacing="0" w:after="0" w:afterAutospacing="0"/>
        <w:ind w:left="0" w:firstLine="709"/>
        <w:jc w:val="both"/>
        <w:rPr>
          <w:sz w:val="28"/>
          <w:szCs w:val="28"/>
        </w:rPr>
      </w:pPr>
      <w:r w:rsidRPr="00660D2D">
        <w:rPr>
          <w:sz w:val="28"/>
          <w:szCs w:val="28"/>
        </w:rPr>
        <w:t>Определение Конституционного Суда РФ от 30.09.2025 № 2312-О «Об отказе в принятии к рассмотрению жалобы гражданина Навагина Дмитрия Сергеевича на нарушение его конституционных прав пунктами 4 и 5 статьи 421 Гражданского кодекса Российской Федерации, статьями 4 и 10, а также частями 1 и 3 статьи 6 Федерального закона "Об электронной подписи"» // СПС «КонсультантПлюс».</w:t>
      </w:r>
    </w:p>
    <w:p w14:paraId="5FE29517" w14:textId="77777777" w:rsidR="00660D2D" w:rsidRPr="00660D2D" w:rsidRDefault="00660D2D" w:rsidP="00660D2D">
      <w:pPr>
        <w:pStyle w:val="ds-markdown-paragraph"/>
        <w:numPr>
          <w:ilvl w:val="0"/>
          <w:numId w:val="2"/>
        </w:numPr>
        <w:spacing w:before="0" w:beforeAutospacing="0" w:after="0" w:afterAutospacing="0"/>
        <w:ind w:left="0" w:firstLine="709"/>
        <w:jc w:val="both"/>
        <w:rPr>
          <w:sz w:val="28"/>
          <w:szCs w:val="28"/>
        </w:rPr>
      </w:pPr>
      <w:r w:rsidRPr="00660D2D">
        <w:rPr>
          <w:sz w:val="28"/>
          <w:szCs w:val="28"/>
        </w:rPr>
        <w:t>Определение Верховного Суда РФ от 19.06.2025 № 310-ЭС25-4614 по делу № А08-12192/2022 // СПС «КонсультантПлюс».</w:t>
      </w:r>
    </w:p>
    <w:p w14:paraId="127E72BE" w14:textId="77777777" w:rsidR="00660D2D" w:rsidRPr="00660D2D" w:rsidRDefault="00660D2D" w:rsidP="00660D2D">
      <w:pPr>
        <w:pStyle w:val="ds-markdown-paragraph"/>
        <w:numPr>
          <w:ilvl w:val="0"/>
          <w:numId w:val="2"/>
        </w:numPr>
        <w:spacing w:before="0" w:beforeAutospacing="0" w:after="0" w:afterAutospacing="0"/>
        <w:ind w:left="0" w:firstLine="709"/>
        <w:jc w:val="both"/>
        <w:rPr>
          <w:sz w:val="28"/>
          <w:szCs w:val="28"/>
        </w:rPr>
      </w:pPr>
      <w:r w:rsidRPr="00660D2D">
        <w:rPr>
          <w:sz w:val="28"/>
          <w:szCs w:val="28"/>
        </w:rPr>
        <w:t>Определение Верховного Суда РФ от 04.06.2025 № 305-ЭС25-4293 по делу № А40-161841/2023 // СПС «КонсультантПлюс».</w:t>
      </w:r>
    </w:p>
    <w:p w14:paraId="18049F45" w14:textId="77777777" w:rsidR="00660D2D" w:rsidRPr="00660D2D" w:rsidRDefault="00660D2D" w:rsidP="00660D2D">
      <w:pPr>
        <w:pStyle w:val="ds-markdown-paragraph"/>
        <w:numPr>
          <w:ilvl w:val="0"/>
          <w:numId w:val="2"/>
        </w:numPr>
        <w:spacing w:before="0" w:beforeAutospacing="0" w:after="0" w:afterAutospacing="0"/>
        <w:ind w:left="0" w:firstLine="709"/>
        <w:jc w:val="both"/>
        <w:rPr>
          <w:sz w:val="28"/>
          <w:szCs w:val="28"/>
        </w:rPr>
      </w:pPr>
      <w:r w:rsidRPr="00660D2D">
        <w:rPr>
          <w:sz w:val="28"/>
          <w:szCs w:val="28"/>
        </w:rPr>
        <w:t>Определение Верховного Суда РФ от 28.04.2025 № 306-ЭС25-4333 по делу № А65-8359/2024 // СПС «КонсультантПлюс».</w:t>
      </w:r>
    </w:p>
    <w:p w14:paraId="045ECF0B" w14:textId="77777777" w:rsidR="00660D2D" w:rsidRPr="00660D2D" w:rsidRDefault="00660D2D" w:rsidP="00660D2D">
      <w:pPr>
        <w:pStyle w:val="ds-markdown-paragraph"/>
        <w:numPr>
          <w:ilvl w:val="0"/>
          <w:numId w:val="2"/>
        </w:numPr>
        <w:spacing w:before="0" w:beforeAutospacing="0" w:after="0" w:afterAutospacing="0"/>
        <w:ind w:left="0" w:firstLine="709"/>
        <w:jc w:val="both"/>
        <w:rPr>
          <w:sz w:val="28"/>
          <w:szCs w:val="28"/>
        </w:rPr>
      </w:pPr>
      <w:r w:rsidRPr="00660D2D">
        <w:rPr>
          <w:sz w:val="28"/>
          <w:szCs w:val="28"/>
        </w:rPr>
        <w:t>Определение Верховного Суда РФ от 29.01.2025 № 305-ЭС24-22216 по делу № А40-254764/2023 // СПС «КонсультантПлюс».</w:t>
      </w:r>
    </w:p>
    <w:p w14:paraId="44399C95" w14:textId="77777777" w:rsidR="00660D2D" w:rsidRPr="00660D2D" w:rsidRDefault="00660D2D" w:rsidP="00660D2D">
      <w:pPr>
        <w:pStyle w:val="ds-markdown-paragraph"/>
        <w:numPr>
          <w:ilvl w:val="0"/>
          <w:numId w:val="2"/>
        </w:numPr>
        <w:spacing w:before="0" w:beforeAutospacing="0" w:after="0" w:afterAutospacing="0"/>
        <w:ind w:left="0" w:firstLine="709"/>
        <w:jc w:val="both"/>
        <w:rPr>
          <w:sz w:val="28"/>
          <w:szCs w:val="28"/>
        </w:rPr>
      </w:pPr>
      <w:r w:rsidRPr="00660D2D">
        <w:rPr>
          <w:sz w:val="28"/>
          <w:szCs w:val="28"/>
        </w:rPr>
        <w:t>Определение Верховного Суда РФ от 20.11.2024 № 307-ЭС24-20650 по делу № А56-15375/2023 // СПС «КонсультантПлюс».</w:t>
      </w:r>
    </w:p>
    <w:p w14:paraId="7138D3D2" w14:textId="77777777" w:rsidR="00660D2D" w:rsidRPr="00660D2D" w:rsidRDefault="00660D2D" w:rsidP="00660D2D">
      <w:pPr>
        <w:pStyle w:val="ds-markdown-paragraph"/>
        <w:numPr>
          <w:ilvl w:val="0"/>
          <w:numId w:val="2"/>
        </w:numPr>
        <w:spacing w:before="0" w:beforeAutospacing="0" w:after="0" w:afterAutospacing="0"/>
        <w:ind w:left="0" w:firstLine="709"/>
        <w:jc w:val="both"/>
        <w:rPr>
          <w:sz w:val="28"/>
          <w:szCs w:val="28"/>
        </w:rPr>
      </w:pPr>
      <w:r w:rsidRPr="00660D2D">
        <w:rPr>
          <w:sz w:val="28"/>
          <w:szCs w:val="28"/>
        </w:rPr>
        <w:t>Определение Верховного Суда РФ от 13.12.2023 № 307-ЭС23-24185 по делу № А56-117461/2022 // СПС «КонсультантПлюс».</w:t>
      </w:r>
    </w:p>
    <w:p w14:paraId="2C231B5F" w14:textId="77777777" w:rsidR="00660D2D" w:rsidRPr="00660D2D" w:rsidRDefault="00660D2D" w:rsidP="00660D2D">
      <w:pPr>
        <w:pStyle w:val="ds-markdown-paragraph"/>
        <w:numPr>
          <w:ilvl w:val="0"/>
          <w:numId w:val="2"/>
        </w:numPr>
        <w:spacing w:before="0" w:beforeAutospacing="0" w:after="0" w:afterAutospacing="0"/>
        <w:ind w:left="0" w:firstLine="709"/>
        <w:jc w:val="both"/>
        <w:rPr>
          <w:sz w:val="28"/>
          <w:szCs w:val="28"/>
        </w:rPr>
      </w:pPr>
      <w:r w:rsidRPr="00660D2D">
        <w:rPr>
          <w:sz w:val="28"/>
          <w:szCs w:val="28"/>
        </w:rPr>
        <w:t>Правовое регулирование электронной торговли и электронной подписи / М. Ю. Линник // Молодой ученый. – 2025. – № 52 (603). – С. 221-223.</w:t>
      </w:r>
    </w:p>
    <w:p w14:paraId="59DDDD8F" w14:textId="77777777" w:rsidR="00660D2D" w:rsidRPr="00660D2D" w:rsidRDefault="00660D2D" w:rsidP="00660D2D">
      <w:pPr>
        <w:pStyle w:val="ds-markdown-paragraph"/>
        <w:numPr>
          <w:ilvl w:val="0"/>
          <w:numId w:val="2"/>
        </w:numPr>
        <w:spacing w:before="0" w:beforeAutospacing="0" w:after="0" w:afterAutospacing="0"/>
        <w:ind w:left="0" w:firstLine="709"/>
        <w:jc w:val="both"/>
        <w:rPr>
          <w:sz w:val="28"/>
          <w:szCs w:val="28"/>
        </w:rPr>
      </w:pPr>
      <w:r w:rsidRPr="00660D2D">
        <w:rPr>
          <w:sz w:val="28"/>
          <w:szCs w:val="28"/>
        </w:rPr>
        <w:t>Проблема отсутствия ответственности за неправомерный доступ к электронным документам (электронной подписи) / А. А. Михайлов // Молодой ученый. – 2024. – № 47 (546). – С. 236-238.</w:t>
      </w:r>
    </w:p>
    <w:p w14:paraId="2F898CD2" w14:textId="77777777" w:rsidR="00660D2D" w:rsidRPr="00660D2D" w:rsidRDefault="00660D2D" w:rsidP="00660D2D">
      <w:pPr>
        <w:pStyle w:val="ds-markdown-paragraph"/>
        <w:numPr>
          <w:ilvl w:val="0"/>
          <w:numId w:val="2"/>
        </w:numPr>
        <w:spacing w:before="0" w:beforeAutospacing="0" w:after="0" w:afterAutospacing="0"/>
        <w:ind w:left="0" w:firstLine="709"/>
        <w:jc w:val="both"/>
        <w:rPr>
          <w:sz w:val="28"/>
          <w:szCs w:val="28"/>
        </w:rPr>
      </w:pPr>
      <w:r w:rsidRPr="00660D2D">
        <w:rPr>
          <w:sz w:val="28"/>
          <w:szCs w:val="28"/>
        </w:rPr>
        <w:t>Определение Верховного Суда РФ от 21.06.2024 № 305-ЭС24-8985 по делу № А41-9289/2023 // СПС «КонсультантПлюс».</w:t>
      </w:r>
    </w:p>
    <w:p w14:paraId="4AEC0DE9" w14:textId="77777777" w:rsidR="00660D2D" w:rsidRPr="00660D2D" w:rsidRDefault="00660D2D" w:rsidP="00660D2D">
      <w:pPr>
        <w:pStyle w:val="ds-markdown-paragraph"/>
        <w:numPr>
          <w:ilvl w:val="0"/>
          <w:numId w:val="2"/>
        </w:numPr>
        <w:spacing w:before="0" w:beforeAutospacing="0" w:after="0" w:afterAutospacing="0"/>
        <w:ind w:left="0" w:firstLine="709"/>
        <w:jc w:val="both"/>
        <w:rPr>
          <w:sz w:val="28"/>
          <w:szCs w:val="28"/>
        </w:rPr>
      </w:pPr>
      <w:r w:rsidRPr="00660D2D">
        <w:rPr>
          <w:sz w:val="28"/>
          <w:szCs w:val="28"/>
        </w:rPr>
        <w:lastRenderedPageBreak/>
        <w:t>Определение Верховного Суда РФ от 28.05.2024 № 307-ЭС24-7008 по делу № А56-58377/2023 // СПС «КонсультантПлюс».</w:t>
      </w:r>
    </w:p>
    <w:p w14:paraId="5CDE7145" w14:textId="77777777" w:rsidR="00660D2D" w:rsidRPr="00660D2D" w:rsidRDefault="00660D2D" w:rsidP="00660D2D">
      <w:pPr>
        <w:pStyle w:val="ds-markdown-paragraph"/>
        <w:numPr>
          <w:ilvl w:val="0"/>
          <w:numId w:val="2"/>
        </w:numPr>
        <w:spacing w:before="0" w:beforeAutospacing="0" w:after="0" w:afterAutospacing="0"/>
        <w:ind w:left="0" w:firstLine="709"/>
        <w:jc w:val="both"/>
        <w:rPr>
          <w:sz w:val="28"/>
          <w:szCs w:val="28"/>
        </w:rPr>
      </w:pPr>
      <w:r w:rsidRPr="00660D2D">
        <w:rPr>
          <w:sz w:val="28"/>
          <w:szCs w:val="28"/>
        </w:rPr>
        <w:t>Определение Верховного Суда РФ от 25.04.2024 № 304-ЭС24-6097 по делу № А70-12040/2023 // СПС «КонсультантПлюс».</w:t>
      </w:r>
    </w:p>
    <w:p w14:paraId="5CAC44CC" w14:textId="77777777" w:rsidR="00660D2D" w:rsidRPr="00660D2D" w:rsidRDefault="00660D2D" w:rsidP="00660D2D">
      <w:pPr>
        <w:pStyle w:val="ds-markdown-paragraph"/>
        <w:numPr>
          <w:ilvl w:val="0"/>
          <w:numId w:val="2"/>
        </w:numPr>
        <w:spacing w:before="0" w:beforeAutospacing="0" w:after="0" w:afterAutospacing="0"/>
        <w:ind w:left="0" w:firstLine="709"/>
        <w:jc w:val="both"/>
        <w:rPr>
          <w:sz w:val="28"/>
          <w:szCs w:val="28"/>
        </w:rPr>
      </w:pPr>
      <w:r w:rsidRPr="00660D2D">
        <w:rPr>
          <w:sz w:val="28"/>
          <w:szCs w:val="28"/>
        </w:rPr>
        <w:t>Определение Верховного Суда РФ от 30.09.2024 № 305-ЭС24-16781 по делу № А40-114940/2023 // СПС «КонсультантПлюс».</w:t>
      </w:r>
    </w:p>
    <w:p w14:paraId="57D8330E" w14:textId="77777777" w:rsidR="00660D2D" w:rsidRPr="00660D2D" w:rsidRDefault="00660D2D" w:rsidP="00660D2D">
      <w:pPr>
        <w:pStyle w:val="ds-markdown-paragraph"/>
        <w:numPr>
          <w:ilvl w:val="0"/>
          <w:numId w:val="2"/>
        </w:numPr>
        <w:spacing w:before="0" w:beforeAutospacing="0" w:after="0" w:afterAutospacing="0"/>
        <w:ind w:left="0" w:firstLine="709"/>
        <w:jc w:val="both"/>
        <w:rPr>
          <w:sz w:val="28"/>
          <w:szCs w:val="28"/>
        </w:rPr>
      </w:pPr>
      <w:r w:rsidRPr="00660D2D">
        <w:rPr>
          <w:sz w:val="28"/>
          <w:szCs w:val="28"/>
        </w:rPr>
        <w:t>Определение Верховного Суда РФ от 27.03.2023 № 305-ЭС23-2004 по делу № А40-276/2022 // СПС «КонсультантПлюс».</w:t>
      </w:r>
    </w:p>
    <w:p w14:paraId="1C2B7DF9" w14:textId="77777777" w:rsidR="00660D2D" w:rsidRPr="00660D2D" w:rsidRDefault="00660D2D" w:rsidP="00660D2D">
      <w:pPr>
        <w:pStyle w:val="ds-markdown-paragraph"/>
        <w:numPr>
          <w:ilvl w:val="0"/>
          <w:numId w:val="2"/>
        </w:numPr>
        <w:spacing w:before="0" w:beforeAutospacing="0" w:after="0" w:afterAutospacing="0"/>
        <w:ind w:left="0" w:firstLine="709"/>
        <w:jc w:val="both"/>
        <w:rPr>
          <w:sz w:val="28"/>
          <w:szCs w:val="28"/>
        </w:rPr>
      </w:pPr>
      <w:r w:rsidRPr="00660D2D">
        <w:rPr>
          <w:sz w:val="28"/>
          <w:szCs w:val="28"/>
        </w:rPr>
        <w:t>Определение Конституционного Суда РФ от 27.06.2023 № 1652-О // СПС «КонсультантПлюс».</w:t>
      </w:r>
    </w:p>
    <w:p w14:paraId="4B8C83C9" w14:textId="77777777" w:rsidR="00660D2D" w:rsidRPr="00660D2D" w:rsidRDefault="00660D2D" w:rsidP="00660D2D">
      <w:pPr>
        <w:pStyle w:val="ds-markdown-paragraph"/>
        <w:numPr>
          <w:ilvl w:val="0"/>
          <w:numId w:val="2"/>
        </w:numPr>
        <w:spacing w:before="0" w:beforeAutospacing="0" w:after="0" w:afterAutospacing="0"/>
        <w:ind w:left="0" w:firstLine="709"/>
        <w:jc w:val="both"/>
        <w:rPr>
          <w:sz w:val="28"/>
          <w:szCs w:val="28"/>
        </w:rPr>
      </w:pPr>
      <w:r w:rsidRPr="00660D2D">
        <w:rPr>
          <w:sz w:val="28"/>
          <w:szCs w:val="28"/>
        </w:rPr>
        <w:t>Определение Верховного Суда РФ от 10.01.2024 № 309-ЭС23-26189 по делу № А76-3850/2022 // СПС «КонсультантПлюс».</w:t>
      </w:r>
    </w:p>
    <w:p w14:paraId="68A8970D" w14:textId="77777777" w:rsidR="00660D2D" w:rsidRPr="00660D2D" w:rsidRDefault="00660D2D" w:rsidP="00660D2D">
      <w:pPr>
        <w:pStyle w:val="ds-markdown-paragraph"/>
        <w:numPr>
          <w:ilvl w:val="0"/>
          <w:numId w:val="2"/>
        </w:numPr>
        <w:spacing w:before="0" w:beforeAutospacing="0" w:after="0" w:afterAutospacing="0"/>
        <w:ind w:left="0" w:firstLine="709"/>
        <w:jc w:val="both"/>
        <w:rPr>
          <w:sz w:val="28"/>
          <w:szCs w:val="28"/>
        </w:rPr>
      </w:pPr>
      <w:r w:rsidRPr="00660D2D">
        <w:rPr>
          <w:sz w:val="28"/>
          <w:szCs w:val="28"/>
        </w:rPr>
        <w:t>Квалифицированная электронная подпись как ключевой атрибут электронного юридического документа: проблемы правоприменения / Н. Н. Чертков // Юридическая наука. – 2025. – № 11. – С. 293-298.</w:t>
      </w:r>
    </w:p>
    <w:p w14:paraId="26B7B02E" w14:textId="77777777" w:rsidR="00660D2D" w:rsidRPr="00660D2D" w:rsidRDefault="00660D2D" w:rsidP="00660D2D">
      <w:pPr>
        <w:pStyle w:val="ds-markdown-paragraph"/>
        <w:numPr>
          <w:ilvl w:val="0"/>
          <w:numId w:val="2"/>
        </w:numPr>
        <w:spacing w:before="0" w:beforeAutospacing="0" w:after="0" w:afterAutospacing="0"/>
        <w:ind w:left="0" w:firstLine="709"/>
        <w:jc w:val="both"/>
        <w:rPr>
          <w:sz w:val="28"/>
          <w:szCs w:val="28"/>
        </w:rPr>
      </w:pPr>
      <w:r w:rsidRPr="00660D2D">
        <w:rPr>
          <w:sz w:val="28"/>
          <w:szCs w:val="28"/>
        </w:rPr>
        <w:t>Определение Верховного Суда РФ от 19.04.2023 № 307-ЭС23-4237 по делу № А44-766/2022 // СПС «КонсультантПлюс».</w:t>
      </w:r>
    </w:p>
    <w:p w14:paraId="6FEEA21C" w14:textId="77777777" w:rsidR="00660D2D" w:rsidRPr="00660D2D" w:rsidRDefault="00660D2D" w:rsidP="00660D2D">
      <w:pPr>
        <w:pStyle w:val="ds-markdown-paragraph"/>
        <w:numPr>
          <w:ilvl w:val="0"/>
          <w:numId w:val="2"/>
        </w:numPr>
        <w:spacing w:before="0" w:beforeAutospacing="0" w:after="0" w:afterAutospacing="0"/>
        <w:ind w:left="0" w:firstLine="709"/>
        <w:jc w:val="both"/>
        <w:rPr>
          <w:sz w:val="28"/>
          <w:szCs w:val="28"/>
        </w:rPr>
      </w:pPr>
      <w:r w:rsidRPr="00660D2D">
        <w:rPr>
          <w:sz w:val="28"/>
          <w:szCs w:val="28"/>
        </w:rPr>
        <w:t xml:space="preserve">Правовые аспекты регламентации обмена электронными документами с применением электронных подписей / А. А. </w:t>
      </w:r>
      <w:proofErr w:type="spellStart"/>
      <w:r w:rsidRPr="00660D2D">
        <w:rPr>
          <w:sz w:val="28"/>
          <w:szCs w:val="28"/>
        </w:rPr>
        <w:t>Бедорев</w:t>
      </w:r>
      <w:proofErr w:type="spellEnd"/>
      <w:r w:rsidRPr="00660D2D">
        <w:rPr>
          <w:sz w:val="28"/>
          <w:szCs w:val="28"/>
        </w:rPr>
        <w:t xml:space="preserve"> // Научно-исследовательская работа обучающихся и молодых </w:t>
      </w:r>
      <w:proofErr w:type="gramStart"/>
      <w:r w:rsidRPr="00660D2D">
        <w:rPr>
          <w:sz w:val="28"/>
          <w:szCs w:val="28"/>
        </w:rPr>
        <w:t>учёных :</w:t>
      </w:r>
      <w:proofErr w:type="gramEnd"/>
      <w:r w:rsidRPr="00660D2D">
        <w:rPr>
          <w:sz w:val="28"/>
          <w:szCs w:val="28"/>
        </w:rPr>
        <w:t xml:space="preserve"> материалы 76-й Всероссийской (с международным участием) научной конференции. – Петрозаводск, 2024. – С. 404-406.</w:t>
      </w:r>
    </w:p>
    <w:p w14:paraId="30CDFE5D" w14:textId="77777777" w:rsidR="00660D2D" w:rsidRPr="00660D2D" w:rsidRDefault="00660D2D" w:rsidP="00660D2D">
      <w:pPr>
        <w:pStyle w:val="ds-markdown-paragraph"/>
        <w:numPr>
          <w:ilvl w:val="0"/>
          <w:numId w:val="2"/>
        </w:numPr>
        <w:spacing w:before="0" w:beforeAutospacing="0" w:after="0" w:afterAutospacing="0"/>
        <w:ind w:left="0" w:firstLine="709"/>
        <w:jc w:val="both"/>
        <w:rPr>
          <w:sz w:val="28"/>
          <w:szCs w:val="28"/>
        </w:rPr>
      </w:pPr>
      <w:r w:rsidRPr="00660D2D">
        <w:rPr>
          <w:sz w:val="28"/>
          <w:szCs w:val="28"/>
        </w:rPr>
        <w:t xml:space="preserve">Электронный договор и электронная подпись: современные аспекты и перспективы / А. Х. </w:t>
      </w:r>
      <w:proofErr w:type="spellStart"/>
      <w:r w:rsidRPr="00660D2D">
        <w:rPr>
          <w:sz w:val="28"/>
          <w:szCs w:val="28"/>
        </w:rPr>
        <w:t>Балкизов</w:t>
      </w:r>
      <w:proofErr w:type="spellEnd"/>
      <w:r w:rsidRPr="00660D2D">
        <w:rPr>
          <w:sz w:val="28"/>
          <w:szCs w:val="28"/>
        </w:rPr>
        <w:t>, А. В. Свищёв // Моя профессиональная карьера. – 2023. – Т. 2, № 54. – С. 121-128.</w:t>
      </w:r>
    </w:p>
    <w:p w14:paraId="69A408BB" w14:textId="4DDA8BF6" w:rsidR="006E6DAB" w:rsidRDefault="00E51DD8" w:rsidP="00660D2D">
      <w:pPr>
        <w:spacing w:after="0" w:line="240" w:lineRule="auto"/>
        <w:ind w:firstLine="709"/>
        <w:jc w:val="both"/>
        <w:rPr>
          <w:rFonts w:ascii="Times New Roman" w:hAnsi="Times New Roman" w:cs="Times New Roman"/>
          <w:sz w:val="28"/>
          <w:szCs w:val="28"/>
        </w:rPr>
      </w:pPr>
    </w:p>
    <w:p w14:paraId="54384724" w14:textId="0E0E03B4" w:rsidR="00E51DD8" w:rsidRDefault="00E51DD8" w:rsidP="00660D2D">
      <w:pPr>
        <w:spacing w:after="0" w:line="240" w:lineRule="auto"/>
        <w:ind w:firstLine="709"/>
        <w:jc w:val="both"/>
        <w:rPr>
          <w:rFonts w:ascii="Times New Roman" w:hAnsi="Times New Roman" w:cs="Times New Roman"/>
          <w:sz w:val="28"/>
          <w:szCs w:val="28"/>
        </w:rPr>
      </w:pPr>
    </w:p>
    <w:p w14:paraId="78AD8075" w14:textId="3958ABDF" w:rsidR="00E51DD8" w:rsidRDefault="00E51DD8" w:rsidP="00E51DD8">
      <w:pPr>
        <w:spacing w:line="360" w:lineRule="auto"/>
        <w:jc w:val="right"/>
        <w:rPr>
          <w:rFonts w:ascii="Times New Roman" w:hAnsi="Times New Roman"/>
          <w:sz w:val="28"/>
          <w:szCs w:val="28"/>
        </w:rPr>
      </w:pPr>
      <w:r w:rsidRPr="00FE48C3">
        <w:rPr>
          <w:rFonts w:ascii="Times New Roman" w:hAnsi="Times New Roman"/>
          <w:sz w:val="28"/>
          <w:szCs w:val="28"/>
        </w:rPr>
        <w:t>© Снег С.Б., 202</w:t>
      </w:r>
      <w:r>
        <w:rPr>
          <w:rFonts w:ascii="Times New Roman" w:hAnsi="Times New Roman"/>
          <w:sz w:val="28"/>
          <w:szCs w:val="28"/>
        </w:rPr>
        <w:t>6</w:t>
      </w:r>
    </w:p>
    <w:p w14:paraId="3326045D" w14:textId="77777777" w:rsidR="00E51DD8" w:rsidRDefault="00E51DD8" w:rsidP="00E51DD8">
      <w:pPr>
        <w:spacing w:after="0" w:line="360" w:lineRule="auto"/>
        <w:jc w:val="both"/>
        <w:rPr>
          <w:rFonts w:ascii="Times New Roman" w:hAnsi="Times New Roman"/>
          <w:sz w:val="28"/>
          <w:szCs w:val="28"/>
        </w:rPr>
      </w:pPr>
    </w:p>
    <w:p w14:paraId="54822100" w14:textId="77777777" w:rsidR="00E51DD8" w:rsidRDefault="00E51DD8" w:rsidP="00E51DD8">
      <w:pPr>
        <w:spacing w:after="0" w:line="360" w:lineRule="auto"/>
        <w:jc w:val="both"/>
        <w:rPr>
          <w:rFonts w:ascii="Times New Roman" w:hAnsi="Times New Roman"/>
          <w:sz w:val="28"/>
          <w:szCs w:val="28"/>
        </w:rPr>
      </w:pPr>
      <w:r>
        <w:rPr>
          <w:rFonts w:ascii="Times New Roman" w:hAnsi="Times New Roman"/>
          <w:sz w:val="28"/>
          <w:szCs w:val="28"/>
        </w:rPr>
        <w:t>Об авторах</w:t>
      </w:r>
      <w:r w:rsidRPr="0098208F">
        <w:rPr>
          <w:rFonts w:ascii="Times New Roman" w:hAnsi="Times New Roman"/>
          <w:sz w:val="28"/>
          <w:szCs w:val="28"/>
        </w:rPr>
        <w:t xml:space="preserve">: </w:t>
      </w:r>
    </w:p>
    <w:p w14:paraId="1F38E634" w14:textId="683F92E7" w:rsidR="00E51DD8" w:rsidRDefault="00E51DD8" w:rsidP="00E51DD8">
      <w:pPr>
        <w:spacing w:after="0" w:line="360" w:lineRule="auto"/>
        <w:jc w:val="both"/>
        <w:rPr>
          <w:rFonts w:ascii="Times New Roman" w:hAnsi="Times New Roman"/>
          <w:sz w:val="28"/>
          <w:szCs w:val="28"/>
        </w:rPr>
      </w:pPr>
      <w:r w:rsidRPr="00FE48C3">
        <w:rPr>
          <w:rFonts w:ascii="Times New Roman" w:hAnsi="Times New Roman"/>
          <w:sz w:val="28"/>
          <w:szCs w:val="28"/>
        </w:rPr>
        <w:t>Снег Светлана</w:t>
      </w:r>
      <w:r>
        <w:rPr>
          <w:rFonts w:ascii="Times New Roman" w:hAnsi="Times New Roman"/>
          <w:sz w:val="28"/>
          <w:szCs w:val="28"/>
        </w:rPr>
        <w:t xml:space="preserve"> </w:t>
      </w:r>
      <w:r w:rsidRPr="00FE48C3">
        <w:rPr>
          <w:rFonts w:ascii="Times New Roman" w:hAnsi="Times New Roman"/>
          <w:sz w:val="28"/>
          <w:szCs w:val="28"/>
        </w:rPr>
        <w:t>Борисовна</w:t>
      </w:r>
      <w:r>
        <w:rPr>
          <w:rFonts w:ascii="Times New Roman" w:hAnsi="Times New Roman"/>
          <w:sz w:val="28"/>
          <w:szCs w:val="28"/>
        </w:rPr>
        <w:t xml:space="preserve"> – </w:t>
      </w:r>
      <w:r w:rsidRPr="00FE48C3">
        <w:rPr>
          <w:rFonts w:ascii="Times New Roman" w:hAnsi="Times New Roman"/>
          <w:sz w:val="28"/>
          <w:szCs w:val="28"/>
        </w:rPr>
        <w:t>специалист по охране труда Архангельского регионального центра связи – структурного подразделения Ярославской дирекции связи – структурного подразделения Центральной станции связи филиала ОАО «РЖД»</w:t>
      </w:r>
    </w:p>
    <w:p w14:paraId="4AB0B8C7" w14:textId="77777777" w:rsidR="00E51DD8" w:rsidRPr="00660D2D" w:rsidRDefault="00E51DD8" w:rsidP="00660D2D">
      <w:pPr>
        <w:spacing w:after="0" w:line="240" w:lineRule="auto"/>
        <w:ind w:firstLine="709"/>
        <w:jc w:val="both"/>
        <w:rPr>
          <w:rFonts w:ascii="Times New Roman" w:hAnsi="Times New Roman" w:cs="Times New Roman"/>
          <w:sz w:val="28"/>
          <w:szCs w:val="28"/>
        </w:rPr>
      </w:pPr>
    </w:p>
    <w:sectPr w:rsidR="00E51DD8" w:rsidRPr="00660D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466398"/>
    <w:multiLevelType w:val="multilevel"/>
    <w:tmpl w:val="01FED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B8042C2"/>
    <w:multiLevelType w:val="multilevel"/>
    <w:tmpl w:val="972263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A95"/>
    <w:rsid w:val="00085A95"/>
    <w:rsid w:val="00320DBF"/>
    <w:rsid w:val="00660D2D"/>
    <w:rsid w:val="00A15A7C"/>
    <w:rsid w:val="00E51D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FE390"/>
  <w15:chartTrackingRefBased/>
  <w15:docId w15:val="{D109B275-A7FC-497E-9C11-B973B486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s-markdown-paragraph">
    <w:name w:val="ds-markdown-paragraph"/>
    <w:basedOn w:val="a"/>
    <w:rsid w:val="00660D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660D2D"/>
    <w:rPr>
      <w:b/>
      <w:bCs/>
    </w:rPr>
  </w:style>
  <w:style w:type="paragraph" w:styleId="HTML">
    <w:name w:val="HTML Preformatted"/>
    <w:basedOn w:val="a"/>
    <w:link w:val="HTML0"/>
    <w:uiPriority w:val="99"/>
    <w:unhideWhenUsed/>
    <w:rsid w:val="00E51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E51DD8"/>
    <w:rPr>
      <w:rFonts w:ascii="Courier New" w:eastAsia="Times New Roman" w:hAnsi="Courier New" w:cs="Courier New"/>
      <w:sz w:val="20"/>
      <w:szCs w:val="20"/>
      <w:lang w:eastAsia="ru-RU"/>
    </w:rPr>
  </w:style>
  <w:style w:type="character" w:customStyle="1" w:styleId="y2iqfc">
    <w:name w:val="y2iqfc"/>
    <w:basedOn w:val="a0"/>
    <w:rsid w:val="00E51D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031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6</Pages>
  <Words>2148</Words>
  <Characters>12248</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86</dc:creator>
  <cp:keywords/>
  <dc:description/>
  <cp:lastModifiedBy>86</cp:lastModifiedBy>
  <cp:revision>2</cp:revision>
  <dcterms:created xsi:type="dcterms:W3CDTF">2026-03-03T15:07:00Z</dcterms:created>
  <dcterms:modified xsi:type="dcterms:W3CDTF">2026-03-03T16:01:00Z</dcterms:modified>
</cp:coreProperties>
</file>