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CE1A" w14:textId="7E794A24" w:rsidR="008D7FFC" w:rsidRPr="00E4792E" w:rsidRDefault="001A6941" w:rsidP="00E160D3">
      <w:pPr>
        <w:spacing w:after="0"/>
        <w:jc w:val="center"/>
        <w:rPr>
          <w:rFonts w:ascii="Times New Roman" w:hAnsi="Times New Roman" w:cs="Times New Roman"/>
          <w:b/>
          <w:bCs/>
          <w:color w:val="000000"/>
          <w:sz w:val="28"/>
          <w:szCs w:val="28"/>
          <w:shd w:val="clear" w:color="auto" w:fill="FFFFFF"/>
        </w:rPr>
      </w:pPr>
      <w:r w:rsidRPr="00E4792E">
        <w:rPr>
          <w:rFonts w:ascii="Times New Roman" w:hAnsi="Times New Roman" w:cs="Times New Roman"/>
          <w:b/>
          <w:bCs/>
          <w:color w:val="000000"/>
          <w:sz w:val="28"/>
          <w:szCs w:val="28"/>
          <w:shd w:val="clear" w:color="auto" w:fill="FFFFFF"/>
        </w:rPr>
        <w:t>ИНФЛЯЦИОННЫЕ ПРОБЛЕМЫ ДАЛЬНЕГО ВОСТОКА РОССИИ</w:t>
      </w:r>
    </w:p>
    <w:p w14:paraId="7C081F61" w14:textId="77777777" w:rsidR="00E160D3" w:rsidRDefault="00E160D3" w:rsidP="00E160D3">
      <w:pPr>
        <w:spacing w:after="0"/>
        <w:jc w:val="center"/>
        <w:rPr>
          <w:rFonts w:ascii="Times New Roman" w:hAnsi="Times New Roman" w:cs="Times New Roman"/>
          <w:b/>
          <w:bCs/>
          <w:color w:val="000000"/>
          <w:sz w:val="24"/>
          <w:szCs w:val="24"/>
          <w:shd w:val="clear" w:color="auto" w:fill="FFFFFF"/>
        </w:rPr>
      </w:pPr>
    </w:p>
    <w:p w14:paraId="0D2099D7" w14:textId="5963B71B" w:rsidR="00E160D3" w:rsidRPr="00132F04" w:rsidRDefault="00132F04" w:rsidP="00132F04">
      <w:pPr>
        <w:spacing w:after="0"/>
        <w:jc w:val="right"/>
        <w:rPr>
          <w:rFonts w:ascii="Times New Roman" w:hAnsi="Times New Roman" w:cs="Times New Roman"/>
          <w:i/>
          <w:iCs/>
          <w:color w:val="000000"/>
          <w:sz w:val="28"/>
          <w:szCs w:val="28"/>
          <w:shd w:val="clear" w:color="auto" w:fill="FFFFFF"/>
        </w:rPr>
      </w:pPr>
      <w:r w:rsidRPr="00132F04">
        <w:rPr>
          <w:rFonts w:ascii="Times New Roman" w:hAnsi="Times New Roman" w:cs="Times New Roman"/>
          <w:i/>
          <w:iCs/>
          <w:color w:val="000000"/>
          <w:sz w:val="28"/>
          <w:szCs w:val="28"/>
          <w:shd w:val="clear" w:color="auto" w:fill="FFFFFF"/>
        </w:rPr>
        <w:t>Автор:</w:t>
      </w:r>
    </w:p>
    <w:p w14:paraId="2EFA78EA" w14:textId="2FDD1C31" w:rsidR="00E160D3" w:rsidRPr="00132F04" w:rsidRDefault="00E160D3" w:rsidP="00E160D3">
      <w:pPr>
        <w:spacing w:after="0"/>
        <w:jc w:val="right"/>
        <w:rPr>
          <w:rFonts w:ascii="Times New Roman" w:hAnsi="Times New Roman" w:cs="Times New Roman"/>
          <w:i/>
          <w:iCs/>
          <w:color w:val="000000"/>
          <w:sz w:val="28"/>
          <w:szCs w:val="28"/>
          <w:shd w:val="clear" w:color="auto" w:fill="FFFFFF"/>
        </w:rPr>
      </w:pPr>
      <w:r w:rsidRPr="00132F04">
        <w:rPr>
          <w:rFonts w:ascii="Times New Roman" w:hAnsi="Times New Roman" w:cs="Times New Roman"/>
          <w:i/>
          <w:iCs/>
          <w:color w:val="000000"/>
          <w:sz w:val="28"/>
          <w:szCs w:val="28"/>
          <w:shd w:val="clear" w:color="auto" w:fill="FFFFFF"/>
        </w:rPr>
        <w:t>Студен</w:t>
      </w:r>
      <w:r w:rsidR="00942EAA" w:rsidRPr="00132F04">
        <w:rPr>
          <w:rFonts w:ascii="Times New Roman" w:hAnsi="Times New Roman" w:cs="Times New Roman"/>
          <w:i/>
          <w:iCs/>
          <w:color w:val="000000"/>
          <w:sz w:val="28"/>
          <w:szCs w:val="28"/>
          <w:shd w:val="clear" w:color="auto" w:fill="FFFFFF"/>
        </w:rPr>
        <w:t xml:space="preserve">т  </w:t>
      </w:r>
    </w:p>
    <w:p w14:paraId="4B15A5DB" w14:textId="3EAA4E6A" w:rsidR="00942EAA" w:rsidRDefault="00942EAA" w:rsidP="00E160D3">
      <w:pPr>
        <w:spacing w:after="0"/>
        <w:jc w:val="right"/>
        <w:rPr>
          <w:rFonts w:ascii="Times New Roman" w:hAnsi="Times New Roman" w:cs="Times New Roman"/>
          <w:i/>
          <w:iCs/>
          <w:color w:val="000000"/>
          <w:sz w:val="28"/>
          <w:szCs w:val="28"/>
          <w:shd w:val="clear" w:color="auto" w:fill="FFFFFF"/>
        </w:rPr>
      </w:pPr>
      <w:r w:rsidRPr="00132F04">
        <w:rPr>
          <w:rFonts w:ascii="Times New Roman" w:hAnsi="Times New Roman" w:cs="Times New Roman"/>
          <w:i/>
          <w:iCs/>
          <w:color w:val="000000"/>
          <w:sz w:val="28"/>
          <w:szCs w:val="28"/>
          <w:shd w:val="clear" w:color="auto" w:fill="FFFFFF"/>
        </w:rPr>
        <w:t>Дальневосточный юридический инсти</w:t>
      </w:r>
      <w:r w:rsidR="00E63758" w:rsidRPr="00132F04">
        <w:rPr>
          <w:rFonts w:ascii="Times New Roman" w:hAnsi="Times New Roman" w:cs="Times New Roman"/>
          <w:i/>
          <w:iCs/>
          <w:color w:val="000000"/>
          <w:sz w:val="28"/>
          <w:szCs w:val="28"/>
          <w:shd w:val="clear" w:color="auto" w:fill="FFFFFF"/>
        </w:rPr>
        <w:t>т</w:t>
      </w:r>
      <w:r w:rsidRPr="00132F04">
        <w:rPr>
          <w:rFonts w:ascii="Times New Roman" w:hAnsi="Times New Roman" w:cs="Times New Roman"/>
          <w:i/>
          <w:iCs/>
          <w:color w:val="000000"/>
          <w:sz w:val="28"/>
          <w:szCs w:val="28"/>
          <w:shd w:val="clear" w:color="auto" w:fill="FFFFFF"/>
        </w:rPr>
        <w:t>ут (филиал) Университета прокуратуры Российской Федерации</w:t>
      </w:r>
    </w:p>
    <w:p w14:paraId="0ADE2705" w14:textId="6240FBEE" w:rsidR="000D1B52" w:rsidRPr="00132F04" w:rsidRDefault="000D1B52" w:rsidP="00E160D3">
      <w:pPr>
        <w:spacing w:after="0"/>
        <w:jc w:val="right"/>
        <w:rPr>
          <w:rFonts w:ascii="Times New Roman" w:hAnsi="Times New Roman" w:cs="Times New Roman"/>
          <w:i/>
          <w:iCs/>
          <w:color w:val="000000"/>
          <w:sz w:val="28"/>
          <w:szCs w:val="28"/>
          <w:shd w:val="clear" w:color="auto" w:fill="FFFFFF"/>
        </w:rPr>
      </w:pPr>
      <w:r>
        <w:rPr>
          <w:rFonts w:ascii="Times New Roman" w:hAnsi="Times New Roman" w:cs="Times New Roman"/>
          <w:i/>
          <w:iCs/>
          <w:color w:val="000000"/>
          <w:sz w:val="28"/>
          <w:szCs w:val="28"/>
          <w:shd w:val="clear" w:color="auto" w:fill="FFFFFF"/>
        </w:rPr>
        <w:t>Музыка Софья Валерьевна</w:t>
      </w:r>
    </w:p>
    <w:p w14:paraId="58D9BC59" w14:textId="77777777" w:rsidR="00E63758" w:rsidRPr="00132F04" w:rsidRDefault="00E63758" w:rsidP="00E160D3">
      <w:pPr>
        <w:spacing w:after="0"/>
        <w:jc w:val="right"/>
        <w:rPr>
          <w:rFonts w:ascii="Times New Roman" w:hAnsi="Times New Roman" w:cs="Times New Roman"/>
          <w:i/>
          <w:iCs/>
          <w:color w:val="000000"/>
          <w:sz w:val="28"/>
          <w:szCs w:val="28"/>
          <w:shd w:val="clear" w:color="auto" w:fill="FFFFFF"/>
        </w:rPr>
      </w:pPr>
    </w:p>
    <w:p w14:paraId="20D00F1F" w14:textId="13FB627A" w:rsidR="00E63758" w:rsidRPr="00132F04" w:rsidRDefault="00E63758" w:rsidP="00E160D3">
      <w:pPr>
        <w:spacing w:after="0"/>
        <w:jc w:val="right"/>
        <w:rPr>
          <w:rFonts w:ascii="Times New Roman" w:hAnsi="Times New Roman" w:cs="Times New Roman"/>
          <w:i/>
          <w:iCs/>
          <w:color w:val="000000"/>
          <w:sz w:val="28"/>
          <w:szCs w:val="28"/>
          <w:shd w:val="clear" w:color="auto" w:fill="FFFFFF"/>
        </w:rPr>
      </w:pPr>
      <w:r w:rsidRPr="00132F04">
        <w:rPr>
          <w:rFonts w:ascii="Times New Roman" w:hAnsi="Times New Roman" w:cs="Times New Roman"/>
          <w:i/>
          <w:iCs/>
          <w:color w:val="000000"/>
          <w:sz w:val="28"/>
          <w:szCs w:val="28"/>
          <w:shd w:val="clear" w:color="auto" w:fill="FFFFFF"/>
        </w:rPr>
        <w:t>Научный руководитель</w:t>
      </w:r>
      <w:r w:rsidR="00132F04" w:rsidRPr="00132F04">
        <w:rPr>
          <w:rFonts w:ascii="Times New Roman" w:hAnsi="Times New Roman" w:cs="Times New Roman"/>
          <w:i/>
          <w:iCs/>
          <w:color w:val="000000"/>
          <w:sz w:val="28"/>
          <w:szCs w:val="28"/>
          <w:shd w:val="clear" w:color="auto" w:fill="FFFFFF"/>
        </w:rPr>
        <w:t>:</w:t>
      </w:r>
    </w:p>
    <w:p w14:paraId="7E4F51A3" w14:textId="77777777" w:rsidR="00E11F19" w:rsidRDefault="00132F04" w:rsidP="00E160D3">
      <w:pPr>
        <w:spacing w:after="0"/>
        <w:jc w:val="right"/>
        <w:rPr>
          <w:rFonts w:ascii="Times New Roman" w:hAnsi="Times New Roman" w:cs="Times New Roman"/>
          <w:i/>
          <w:iCs/>
          <w:color w:val="000000"/>
          <w:sz w:val="28"/>
          <w:szCs w:val="28"/>
          <w:shd w:val="clear" w:color="auto" w:fill="FFFFFF"/>
        </w:rPr>
      </w:pPr>
      <w:r w:rsidRPr="00132F04">
        <w:rPr>
          <w:rFonts w:ascii="Times New Roman" w:hAnsi="Times New Roman" w:cs="Times New Roman"/>
          <w:i/>
          <w:iCs/>
          <w:color w:val="000000"/>
          <w:sz w:val="28"/>
          <w:szCs w:val="28"/>
          <w:shd w:val="clear" w:color="auto" w:fill="FFFFFF"/>
        </w:rPr>
        <w:t>Кандидат философских наук</w:t>
      </w:r>
    </w:p>
    <w:p w14:paraId="1BC28C01" w14:textId="375CCDC8" w:rsidR="00132F04" w:rsidRDefault="00132F04" w:rsidP="00E160D3">
      <w:pPr>
        <w:spacing w:after="0"/>
        <w:jc w:val="right"/>
        <w:rPr>
          <w:rFonts w:ascii="Times New Roman" w:hAnsi="Times New Roman" w:cs="Times New Roman"/>
          <w:i/>
          <w:iCs/>
          <w:color w:val="000000"/>
          <w:sz w:val="28"/>
          <w:szCs w:val="28"/>
          <w:shd w:val="clear" w:color="auto" w:fill="FFFFFF"/>
        </w:rPr>
      </w:pPr>
      <w:r w:rsidRPr="00132F04">
        <w:rPr>
          <w:rFonts w:ascii="Times New Roman" w:hAnsi="Times New Roman" w:cs="Times New Roman"/>
          <w:i/>
          <w:iCs/>
          <w:color w:val="000000"/>
          <w:sz w:val="28"/>
          <w:szCs w:val="28"/>
          <w:shd w:val="clear" w:color="auto" w:fill="FFFFFF"/>
        </w:rPr>
        <w:t xml:space="preserve"> заведующий кафедрой общегуманитарных и социально-экономических дисциплин</w:t>
      </w:r>
    </w:p>
    <w:p w14:paraId="2E2281A0" w14:textId="76317089" w:rsidR="00E11F19" w:rsidRPr="00132F04" w:rsidRDefault="00E11F19" w:rsidP="00E160D3">
      <w:pPr>
        <w:spacing w:after="0"/>
        <w:jc w:val="right"/>
        <w:rPr>
          <w:rFonts w:ascii="Times New Roman" w:hAnsi="Times New Roman" w:cs="Times New Roman"/>
          <w:i/>
          <w:iCs/>
          <w:color w:val="000000"/>
          <w:sz w:val="28"/>
          <w:szCs w:val="28"/>
          <w:shd w:val="clear" w:color="auto" w:fill="FFFFFF"/>
        </w:rPr>
      </w:pPr>
      <w:r>
        <w:rPr>
          <w:rFonts w:ascii="Times New Roman" w:hAnsi="Times New Roman" w:cs="Times New Roman"/>
          <w:i/>
          <w:iCs/>
          <w:color w:val="000000"/>
          <w:sz w:val="28"/>
          <w:szCs w:val="28"/>
          <w:shd w:val="clear" w:color="auto" w:fill="FFFFFF"/>
        </w:rPr>
        <w:t xml:space="preserve">Ерохин Алексей Константинович </w:t>
      </w:r>
    </w:p>
    <w:p w14:paraId="0A82B3AC" w14:textId="77777777" w:rsidR="00E63758" w:rsidRPr="00132F04" w:rsidRDefault="00E63758" w:rsidP="00E160D3">
      <w:pPr>
        <w:spacing w:after="0"/>
        <w:jc w:val="right"/>
        <w:rPr>
          <w:rFonts w:ascii="Times New Roman" w:hAnsi="Times New Roman" w:cs="Times New Roman"/>
          <w:b/>
          <w:bCs/>
          <w:i/>
          <w:iCs/>
          <w:color w:val="000000"/>
          <w:sz w:val="28"/>
          <w:szCs w:val="28"/>
          <w:shd w:val="clear" w:color="auto" w:fill="FFFFFF"/>
        </w:rPr>
      </w:pPr>
    </w:p>
    <w:p w14:paraId="37E40676" w14:textId="77777777" w:rsidR="001A6941" w:rsidRPr="00942EAA" w:rsidRDefault="001A6941" w:rsidP="001A6941">
      <w:pPr>
        <w:spacing w:after="0"/>
        <w:jc w:val="center"/>
        <w:rPr>
          <w:rFonts w:ascii="Times New Roman" w:hAnsi="Times New Roman" w:cs="Times New Roman"/>
          <w:color w:val="000000"/>
          <w:sz w:val="28"/>
          <w:szCs w:val="28"/>
          <w:shd w:val="clear" w:color="auto" w:fill="FFFFFF"/>
        </w:rPr>
      </w:pPr>
    </w:p>
    <w:p w14:paraId="309E95F6" w14:textId="77777777" w:rsidR="008D7FFC" w:rsidRPr="00510FDD" w:rsidRDefault="008D7FFC" w:rsidP="008D7FFC">
      <w:pPr>
        <w:spacing w:after="0" w:line="360" w:lineRule="auto"/>
        <w:ind w:firstLine="709"/>
        <w:jc w:val="both"/>
        <w:rPr>
          <w:rFonts w:ascii="Times New Roman" w:hAnsi="Times New Roman" w:cs="Times New Roman"/>
          <w:sz w:val="28"/>
          <w:szCs w:val="28"/>
        </w:rPr>
      </w:pPr>
      <w:r w:rsidRPr="00510FDD">
        <w:rPr>
          <w:rFonts w:ascii="Times New Roman" w:hAnsi="Times New Roman" w:cs="Times New Roman"/>
          <w:i/>
          <w:iCs/>
          <w:sz w:val="28"/>
          <w:szCs w:val="28"/>
        </w:rPr>
        <w:t>Аннотация</w:t>
      </w:r>
      <w:r w:rsidRPr="00510FDD">
        <w:rPr>
          <w:rFonts w:ascii="Times New Roman" w:hAnsi="Times New Roman" w:cs="Times New Roman"/>
          <w:sz w:val="28"/>
          <w:szCs w:val="28"/>
        </w:rPr>
        <w:t>. В статье рассматривается влияние инфляционных процессов на уровень жизни населения Владивостока в контексте региональной дифференциации цен. На основе анализа статистических данных и результатов социологических исследований выявляются ключевые факторы, обуславливающие более высокую стоимость жизни в дальневосточной столице по сравнению с центральными регионами России. Особое внимание уделяется динамике потребительских цен, структуре расходов домохозяйств, состоянию рынка жилья и соотношению номинальных доходов с реальной покупательной способностью. Делается вывод о необходимости реализации государственных мер, направленных на снижение регионального ценового неравенства и поддержку благосостояния граждан Приморского края.</w:t>
      </w:r>
    </w:p>
    <w:p w14:paraId="4EEBC207" w14:textId="77777777" w:rsidR="008D7FFC" w:rsidRPr="00510FDD" w:rsidRDefault="008D7FFC" w:rsidP="008D7FFC">
      <w:pPr>
        <w:spacing w:after="0" w:line="360" w:lineRule="auto"/>
        <w:ind w:firstLine="709"/>
        <w:jc w:val="both"/>
        <w:rPr>
          <w:rFonts w:ascii="Times New Roman" w:hAnsi="Times New Roman" w:cs="Times New Roman"/>
          <w:sz w:val="28"/>
          <w:szCs w:val="28"/>
        </w:rPr>
      </w:pPr>
      <w:r w:rsidRPr="00510FDD">
        <w:rPr>
          <w:rFonts w:ascii="Times New Roman" w:hAnsi="Times New Roman" w:cs="Times New Roman"/>
          <w:i/>
          <w:iCs/>
          <w:sz w:val="28"/>
          <w:szCs w:val="28"/>
        </w:rPr>
        <w:t>Ключевые слова</w:t>
      </w:r>
      <w:r w:rsidRPr="00510FDD">
        <w:rPr>
          <w:rFonts w:ascii="Times New Roman" w:hAnsi="Times New Roman" w:cs="Times New Roman"/>
          <w:sz w:val="28"/>
          <w:szCs w:val="28"/>
        </w:rPr>
        <w:t>: инфляция, Владивосток, Приморский край, уровень жизни, потребительские цены, региональная дифференциация, покупательная способность, стоимость жилья, доходы населения, дальневосточный регион</w:t>
      </w:r>
    </w:p>
    <w:p w14:paraId="457F6135" w14:textId="77777777" w:rsidR="008D7FFC" w:rsidRDefault="008D7FFC" w:rsidP="008D7FFC">
      <w:pPr>
        <w:spacing w:after="0"/>
        <w:rPr>
          <w:rFonts w:ascii="Arial" w:hAnsi="Arial" w:cs="Arial"/>
          <w:color w:val="000000"/>
          <w:sz w:val="30"/>
          <w:szCs w:val="30"/>
          <w:shd w:val="clear" w:color="auto" w:fill="FFFFFF"/>
        </w:rPr>
      </w:pPr>
    </w:p>
    <w:p w14:paraId="42C0FFDA" w14:textId="77777777" w:rsidR="009A6987" w:rsidRPr="008D7FFC" w:rsidRDefault="009A6987"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 xml:space="preserve">В условиях современной макроэкономической нестабильности, характеризующейся повышенным уровнем инфляции на потребительском рынке Российской Федерации, особую актуальность приобретает анализ региональной дифференциации цен и их влияния на уровень жизни населения. Владивосток, будучи крупнейшим экономическим и административным центром </w:t>
      </w:r>
      <w:r w:rsidRPr="008D7FFC">
        <w:rPr>
          <w:rFonts w:ascii="Times New Roman" w:hAnsi="Times New Roman" w:cs="Times New Roman"/>
          <w:sz w:val="28"/>
        </w:rPr>
        <w:lastRenderedPageBreak/>
        <w:t>Дальневосточного федерального округа, представляет собой уникальный пример территории с высокой стоимостью жизни, что обусловлено как географической удаленностью от центральной части страны, так и спецификой логистических цепочек. Инфляционные процессы, имеющие общенациональный характер, в регионе наслаиваются на структурные особенности местного рынка, что приводит к формированию значительного разрыва в ценах на товары и услуги по сравнению с центральными регионами России. В данной статье рассматривается, как инфляционное давление трансформирует покупательную способность жителей Владивостока, а также проводится сравнительный анализ ценовых показателей для оценки степени экономической доступности базовых благ в контексте дальневосточной специфики.</w:t>
      </w:r>
    </w:p>
    <w:p w14:paraId="0124209F"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Для всестороннего анализа влияния инфляции на качество жизни населения Владивостока и выявления ценовых диспропорций относительно центральных регионов России необходимо рассмотреть динамику макроэкономических показателей, структуру потребительских расходов и региональные особенности ценообразования. Инфляция, представляющая собой устойчивый процесс повышения общего уровня цен, напрямую трансформирует покупательную способность денежных доходов граждан и видоизменяет структуру их потребительской корзины [1].</w:t>
      </w:r>
    </w:p>
    <w:p w14:paraId="62041FBE" w14:textId="77777777" w:rsid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Ретроспективный анализ уровня инфляции в Российской Федерации демонстрирует значительную волатильность, обусловленную как внутренними экономическими циклами, так и внешними шоками. Согласно данным, представленным в исследовании П.А. Сушко, за период с 2006 по 2022 год наблюдались существенные колебания индекса потребительских цен (ИПЦ) (таблица 1) [1].</w:t>
      </w:r>
    </w:p>
    <w:p w14:paraId="5342ADC4" w14:textId="77777777" w:rsidR="008D7FFC" w:rsidRPr="008D7FFC" w:rsidRDefault="008D7FFC" w:rsidP="008D7FFC">
      <w:pPr>
        <w:spacing w:after="0" w:line="360" w:lineRule="auto"/>
        <w:ind w:firstLine="709"/>
        <w:jc w:val="both"/>
        <w:rPr>
          <w:rFonts w:ascii="Times New Roman" w:hAnsi="Times New Roman" w:cs="Times New Roman"/>
          <w:sz w:val="28"/>
        </w:rPr>
      </w:pPr>
    </w:p>
    <w:p w14:paraId="4011132B" w14:textId="77777777" w:rsidR="008D7FFC" w:rsidRPr="008D7FFC" w:rsidRDefault="008D7FFC" w:rsidP="008D7FFC">
      <w:pPr>
        <w:spacing w:after="0" w:line="360" w:lineRule="auto"/>
        <w:ind w:firstLine="709"/>
        <w:jc w:val="both"/>
        <w:rPr>
          <w:rFonts w:ascii="Times New Roman" w:hAnsi="Times New Roman" w:cs="Times New Roman"/>
          <w:sz w:val="24"/>
        </w:rPr>
      </w:pPr>
      <w:r w:rsidRPr="008D7FFC">
        <w:rPr>
          <w:rFonts w:ascii="Times New Roman" w:hAnsi="Times New Roman" w:cs="Times New Roman"/>
          <w:sz w:val="24"/>
        </w:rPr>
        <w:t>Таблица 1. – Уровень инфляции в Российской Федерации (2006–2022 гг.), %</w:t>
      </w:r>
    </w:p>
    <w:tbl>
      <w:tblPr>
        <w:tblStyle w:val="a7"/>
        <w:tblW w:w="5000" w:type="pct"/>
        <w:tblLook w:val="04A0" w:firstRow="1" w:lastRow="0" w:firstColumn="1" w:lastColumn="0" w:noHBand="0" w:noVBand="1"/>
      </w:tblPr>
      <w:tblGrid>
        <w:gridCol w:w="1972"/>
        <w:gridCol w:w="7656"/>
      </w:tblGrid>
      <w:tr w:rsidR="008D7FFC" w:rsidRPr="008D7FFC" w14:paraId="0124E0DC" w14:textId="77777777" w:rsidTr="008D7FFC">
        <w:tc>
          <w:tcPr>
            <w:tcW w:w="1024" w:type="pct"/>
            <w:hideMark/>
          </w:tcPr>
          <w:p w14:paraId="6A191FBA" w14:textId="77777777" w:rsidR="008D7FFC" w:rsidRPr="008D7FFC" w:rsidRDefault="008D7FFC" w:rsidP="008D7FFC">
            <w:pPr>
              <w:jc w:val="center"/>
              <w:rPr>
                <w:rFonts w:ascii="Times New Roman" w:eastAsia="Times New Roman" w:hAnsi="Times New Roman" w:cs="Times New Roman"/>
                <w:bCs/>
                <w:sz w:val="24"/>
                <w:szCs w:val="24"/>
                <w:lang w:eastAsia="ru-RU"/>
              </w:rPr>
            </w:pPr>
            <w:r w:rsidRPr="008D7FFC">
              <w:rPr>
                <w:rFonts w:ascii="Times New Roman" w:eastAsia="Times New Roman" w:hAnsi="Times New Roman" w:cs="Times New Roman"/>
                <w:bCs/>
                <w:sz w:val="24"/>
                <w:szCs w:val="24"/>
                <w:lang w:eastAsia="ru-RU"/>
              </w:rPr>
              <w:t>Год</w:t>
            </w:r>
          </w:p>
        </w:tc>
        <w:tc>
          <w:tcPr>
            <w:tcW w:w="3976" w:type="pct"/>
            <w:hideMark/>
          </w:tcPr>
          <w:p w14:paraId="60E30ADE" w14:textId="77777777" w:rsidR="008D7FFC" w:rsidRPr="008D7FFC" w:rsidRDefault="008D7FFC" w:rsidP="008D7FFC">
            <w:pPr>
              <w:jc w:val="center"/>
              <w:rPr>
                <w:rFonts w:ascii="Times New Roman" w:eastAsia="Times New Roman" w:hAnsi="Times New Roman" w:cs="Times New Roman"/>
                <w:bCs/>
                <w:sz w:val="24"/>
                <w:szCs w:val="24"/>
                <w:lang w:eastAsia="ru-RU"/>
              </w:rPr>
            </w:pPr>
            <w:r w:rsidRPr="008D7FFC">
              <w:rPr>
                <w:rFonts w:ascii="Times New Roman" w:eastAsia="Times New Roman" w:hAnsi="Times New Roman" w:cs="Times New Roman"/>
                <w:bCs/>
                <w:sz w:val="24"/>
                <w:szCs w:val="24"/>
                <w:lang w:eastAsia="ru-RU"/>
              </w:rPr>
              <w:t>Инфляция за год, %</w:t>
            </w:r>
          </w:p>
        </w:tc>
      </w:tr>
      <w:tr w:rsidR="008D7FFC" w:rsidRPr="008D7FFC" w14:paraId="26150941" w14:textId="77777777" w:rsidTr="008D7FFC">
        <w:tc>
          <w:tcPr>
            <w:tcW w:w="1024" w:type="pct"/>
            <w:hideMark/>
          </w:tcPr>
          <w:p w14:paraId="7ED31536"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2006</w:t>
            </w:r>
          </w:p>
        </w:tc>
        <w:tc>
          <w:tcPr>
            <w:tcW w:w="3976" w:type="pct"/>
            <w:hideMark/>
          </w:tcPr>
          <w:p w14:paraId="02E1A8CA"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11,87</w:t>
            </w:r>
          </w:p>
        </w:tc>
      </w:tr>
      <w:tr w:rsidR="008D7FFC" w:rsidRPr="008D7FFC" w14:paraId="776BAEE7" w14:textId="77777777" w:rsidTr="008D7FFC">
        <w:tc>
          <w:tcPr>
            <w:tcW w:w="1024" w:type="pct"/>
            <w:hideMark/>
          </w:tcPr>
          <w:p w14:paraId="1010BB1D"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2007</w:t>
            </w:r>
          </w:p>
        </w:tc>
        <w:tc>
          <w:tcPr>
            <w:tcW w:w="3976" w:type="pct"/>
            <w:hideMark/>
          </w:tcPr>
          <w:p w14:paraId="6CE7105D"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13,28</w:t>
            </w:r>
          </w:p>
        </w:tc>
      </w:tr>
      <w:tr w:rsidR="008D7FFC" w:rsidRPr="008D7FFC" w14:paraId="711E7F25" w14:textId="77777777" w:rsidTr="008D7FFC">
        <w:tc>
          <w:tcPr>
            <w:tcW w:w="1024" w:type="pct"/>
            <w:hideMark/>
          </w:tcPr>
          <w:p w14:paraId="7921BC24"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2008</w:t>
            </w:r>
          </w:p>
        </w:tc>
        <w:tc>
          <w:tcPr>
            <w:tcW w:w="3976" w:type="pct"/>
            <w:hideMark/>
          </w:tcPr>
          <w:p w14:paraId="1E3BA465"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8,80</w:t>
            </w:r>
          </w:p>
        </w:tc>
      </w:tr>
      <w:tr w:rsidR="008D7FFC" w:rsidRPr="008D7FFC" w14:paraId="6FA55EF4" w14:textId="77777777" w:rsidTr="008D7FFC">
        <w:tc>
          <w:tcPr>
            <w:tcW w:w="1024" w:type="pct"/>
            <w:hideMark/>
          </w:tcPr>
          <w:p w14:paraId="3A00A115"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2009</w:t>
            </w:r>
          </w:p>
        </w:tc>
        <w:tc>
          <w:tcPr>
            <w:tcW w:w="3976" w:type="pct"/>
            <w:hideMark/>
          </w:tcPr>
          <w:p w14:paraId="4530792C"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8,78</w:t>
            </w:r>
          </w:p>
        </w:tc>
      </w:tr>
      <w:tr w:rsidR="008D7FFC" w:rsidRPr="008D7FFC" w14:paraId="065C104E" w14:textId="77777777" w:rsidTr="008D7FFC">
        <w:tc>
          <w:tcPr>
            <w:tcW w:w="1024" w:type="pct"/>
            <w:hideMark/>
          </w:tcPr>
          <w:p w14:paraId="3638ABE8"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lastRenderedPageBreak/>
              <w:t>2010</w:t>
            </w:r>
          </w:p>
        </w:tc>
        <w:tc>
          <w:tcPr>
            <w:tcW w:w="3976" w:type="pct"/>
            <w:hideMark/>
          </w:tcPr>
          <w:p w14:paraId="3727A119"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6,10</w:t>
            </w:r>
          </w:p>
        </w:tc>
      </w:tr>
      <w:tr w:rsidR="008D7FFC" w:rsidRPr="008D7FFC" w14:paraId="11428A01" w14:textId="77777777" w:rsidTr="008D7FFC">
        <w:tc>
          <w:tcPr>
            <w:tcW w:w="1024" w:type="pct"/>
            <w:hideMark/>
          </w:tcPr>
          <w:p w14:paraId="14EA3A1C"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2011</w:t>
            </w:r>
          </w:p>
        </w:tc>
        <w:tc>
          <w:tcPr>
            <w:tcW w:w="3976" w:type="pct"/>
            <w:hideMark/>
          </w:tcPr>
          <w:p w14:paraId="78C3F95E"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6,58</w:t>
            </w:r>
          </w:p>
        </w:tc>
      </w:tr>
      <w:tr w:rsidR="008D7FFC" w:rsidRPr="008D7FFC" w14:paraId="6F6F0A99" w14:textId="77777777" w:rsidTr="008D7FFC">
        <w:tc>
          <w:tcPr>
            <w:tcW w:w="1024" w:type="pct"/>
            <w:hideMark/>
          </w:tcPr>
          <w:p w14:paraId="40B50FC5"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2012</w:t>
            </w:r>
          </w:p>
        </w:tc>
        <w:tc>
          <w:tcPr>
            <w:tcW w:w="3976" w:type="pct"/>
            <w:hideMark/>
          </w:tcPr>
          <w:p w14:paraId="7D2AD660"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9,00</w:t>
            </w:r>
          </w:p>
        </w:tc>
      </w:tr>
      <w:tr w:rsidR="008D7FFC" w:rsidRPr="008D7FFC" w14:paraId="1987CDED" w14:textId="77777777" w:rsidTr="008D7FFC">
        <w:tc>
          <w:tcPr>
            <w:tcW w:w="1024" w:type="pct"/>
            <w:hideMark/>
          </w:tcPr>
          <w:p w14:paraId="11F674D0"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2013</w:t>
            </w:r>
          </w:p>
        </w:tc>
        <w:tc>
          <w:tcPr>
            <w:tcW w:w="3976" w:type="pct"/>
            <w:hideMark/>
          </w:tcPr>
          <w:p w14:paraId="36EC1253"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6,45</w:t>
            </w:r>
          </w:p>
        </w:tc>
      </w:tr>
      <w:tr w:rsidR="008D7FFC" w:rsidRPr="008D7FFC" w14:paraId="0AA76F24" w14:textId="77777777" w:rsidTr="008D7FFC">
        <w:tc>
          <w:tcPr>
            <w:tcW w:w="1024" w:type="pct"/>
            <w:hideMark/>
          </w:tcPr>
          <w:p w14:paraId="09F3B36D"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2014</w:t>
            </w:r>
          </w:p>
        </w:tc>
        <w:tc>
          <w:tcPr>
            <w:tcW w:w="3976" w:type="pct"/>
            <w:hideMark/>
          </w:tcPr>
          <w:p w14:paraId="65370428"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11,36</w:t>
            </w:r>
          </w:p>
        </w:tc>
      </w:tr>
      <w:tr w:rsidR="008D7FFC" w:rsidRPr="008D7FFC" w14:paraId="1FBA4F8B" w14:textId="77777777" w:rsidTr="008D7FFC">
        <w:tc>
          <w:tcPr>
            <w:tcW w:w="1024" w:type="pct"/>
            <w:hideMark/>
          </w:tcPr>
          <w:p w14:paraId="545F6E2D"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2015</w:t>
            </w:r>
          </w:p>
        </w:tc>
        <w:tc>
          <w:tcPr>
            <w:tcW w:w="3976" w:type="pct"/>
            <w:hideMark/>
          </w:tcPr>
          <w:p w14:paraId="6C1293BB"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12,91</w:t>
            </w:r>
          </w:p>
        </w:tc>
      </w:tr>
      <w:tr w:rsidR="008D7FFC" w:rsidRPr="008D7FFC" w14:paraId="1B2DF532" w14:textId="77777777" w:rsidTr="008D7FFC">
        <w:tc>
          <w:tcPr>
            <w:tcW w:w="1024" w:type="pct"/>
            <w:hideMark/>
          </w:tcPr>
          <w:p w14:paraId="498A3C78"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2016</w:t>
            </w:r>
          </w:p>
        </w:tc>
        <w:tc>
          <w:tcPr>
            <w:tcW w:w="3976" w:type="pct"/>
            <w:hideMark/>
          </w:tcPr>
          <w:p w14:paraId="573EB18B"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5,38</w:t>
            </w:r>
          </w:p>
        </w:tc>
      </w:tr>
      <w:tr w:rsidR="008D7FFC" w:rsidRPr="008D7FFC" w14:paraId="6BDEA3A7" w14:textId="77777777" w:rsidTr="008D7FFC">
        <w:tc>
          <w:tcPr>
            <w:tcW w:w="1024" w:type="pct"/>
            <w:hideMark/>
          </w:tcPr>
          <w:p w14:paraId="4D242E85"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2017</w:t>
            </w:r>
          </w:p>
        </w:tc>
        <w:tc>
          <w:tcPr>
            <w:tcW w:w="3976" w:type="pct"/>
            <w:hideMark/>
          </w:tcPr>
          <w:p w14:paraId="0019765E"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2,52</w:t>
            </w:r>
          </w:p>
        </w:tc>
      </w:tr>
      <w:tr w:rsidR="008D7FFC" w:rsidRPr="008D7FFC" w14:paraId="609CEF4F" w14:textId="77777777" w:rsidTr="008D7FFC">
        <w:tc>
          <w:tcPr>
            <w:tcW w:w="1024" w:type="pct"/>
            <w:hideMark/>
          </w:tcPr>
          <w:p w14:paraId="57391DA7"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2018</w:t>
            </w:r>
          </w:p>
        </w:tc>
        <w:tc>
          <w:tcPr>
            <w:tcW w:w="3976" w:type="pct"/>
            <w:hideMark/>
          </w:tcPr>
          <w:p w14:paraId="45336B01"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4,27</w:t>
            </w:r>
          </w:p>
        </w:tc>
      </w:tr>
      <w:tr w:rsidR="008D7FFC" w:rsidRPr="008D7FFC" w14:paraId="74919335" w14:textId="77777777" w:rsidTr="008D7FFC">
        <w:tc>
          <w:tcPr>
            <w:tcW w:w="1024" w:type="pct"/>
            <w:hideMark/>
          </w:tcPr>
          <w:p w14:paraId="7F95A3C1"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2019</w:t>
            </w:r>
          </w:p>
        </w:tc>
        <w:tc>
          <w:tcPr>
            <w:tcW w:w="3976" w:type="pct"/>
            <w:hideMark/>
          </w:tcPr>
          <w:p w14:paraId="2AB81F32"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6,45</w:t>
            </w:r>
          </w:p>
        </w:tc>
      </w:tr>
      <w:tr w:rsidR="008D7FFC" w:rsidRPr="008D7FFC" w14:paraId="54F63546" w14:textId="77777777" w:rsidTr="008D7FFC">
        <w:tc>
          <w:tcPr>
            <w:tcW w:w="1024" w:type="pct"/>
            <w:hideMark/>
          </w:tcPr>
          <w:p w14:paraId="0FC9547D"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2020</w:t>
            </w:r>
          </w:p>
        </w:tc>
        <w:tc>
          <w:tcPr>
            <w:tcW w:w="3976" w:type="pct"/>
            <w:hideMark/>
          </w:tcPr>
          <w:p w14:paraId="39BAF92E"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3,05</w:t>
            </w:r>
          </w:p>
        </w:tc>
      </w:tr>
      <w:tr w:rsidR="008D7FFC" w:rsidRPr="008D7FFC" w14:paraId="3C549A05" w14:textId="77777777" w:rsidTr="008D7FFC">
        <w:tc>
          <w:tcPr>
            <w:tcW w:w="1024" w:type="pct"/>
            <w:hideMark/>
          </w:tcPr>
          <w:p w14:paraId="046696ED"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2021</w:t>
            </w:r>
          </w:p>
        </w:tc>
        <w:tc>
          <w:tcPr>
            <w:tcW w:w="3976" w:type="pct"/>
            <w:hideMark/>
          </w:tcPr>
          <w:p w14:paraId="6EB8A310"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8,39</w:t>
            </w:r>
          </w:p>
        </w:tc>
      </w:tr>
      <w:tr w:rsidR="008D7FFC" w:rsidRPr="008D7FFC" w14:paraId="23254E76" w14:textId="77777777" w:rsidTr="008D7FFC">
        <w:tc>
          <w:tcPr>
            <w:tcW w:w="1024" w:type="pct"/>
            <w:hideMark/>
          </w:tcPr>
          <w:p w14:paraId="14A57960"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2022</w:t>
            </w:r>
          </w:p>
        </w:tc>
        <w:tc>
          <w:tcPr>
            <w:tcW w:w="3976" w:type="pct"/>
            <w:hideMark/>
          </w:tcPr>
          <w:p w14:paraId="2B2E1D43"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11,92</w:t>
            </w:r>
          </w:p>
        </w:tc>
      </w:tr>
    </w:tbl>
    <w:p w14:paraId="693FC467" w14:textId="77777777" w:rsidR="008D7FFC" w:rsidRPr="008D7FFC" w:rsidRDefault="008D7FFC" w:rsidP="008D7FFC">
      <w:pPr>
        <w:spacing w:after="0" w:line="360" w:lineRule="auto"/>
        <w:ind w:firstLine="709"/>
        <w:jc w:val="both"/>
        <w:rPr>
          <w:rFonts w:ascii="Times New Roman" w:hAnsi="Times New Roman" w:cs="Times New Roman"/>
          <w:sz w:val="28"/>
        </w:rPr>
      </w:pPr>
    </w:p>
    <w:p w14:paraId="4E5EA4D2"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Пиковые значения инфляции фиксировались в кризисные годы (2006–2007, 2014–2015, 2021–2022), что коррелировало с падением курса национальной валюты и внешнеполитическими событиями. Важно отметить, что индекс потребительских цен на услуги и продовольственные товары часто демонстрировал более высокую динамику, чем общий ИПЦ, что усиливало нагрузку на бюджеты домохозяйств [1].</w:t>
      </w:r>
    </w:p>
    <w:p w14:paraId="1FE5DA5E"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В региональном разрезе инфляционные процессы носят дифференцированный характер. По итогам 2025 года разрыв в темпах роста цен между Дальним Востоком и центральными регионами достиг значительных величин: на Камчатке инфляция составила 9,48%, в то время как в Москве — лишь 3,68% при среднероссийском показателе около 5,6% [3]. Приморский край, административным центром которого является Владивосток, стабильно входит в число регионов с повышенным инфляционным давлением. В январе 2026 года годовая инфляция в Приморье ускорилась до 6,9%, превысив общероссийский уровень (6,0%) [5].</w:t>
      </w:r>
    </w:p>
    <w:p w14:paraId="4FF705F7"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 xml:space="preserve">Эмпирические данные свидетельствуют, что на Дальнем Востоке традиционно выше не только номинальные заработные платы, но и покупательная способность, что создает предпосылки для реализации товаров по более высоким ценам [3]. Однако ключевым фактором ценовых диспропорций выступает логистика: длинное транспортное плечо, удаленность от центров производства и климатические условия объективно удорожают доставку товаров </w:t>
      </w:r>
      <w:r w:rsidRPr="008D7FFC">
        <w:rPr>
          <w:rFonts w:ascii="Times New Roman" w:hAnsi="Times New Roman" w:cs="Times New Roman"/>
          <w:sz w:val="28"/>
        </w:rPr>
        <w:lastRenderedPageBreak/>
        <w:t>[3]. В советский период эти различия нивелировались унифицированными ценами, тогда как рыночная экономика высвободила накопившийся потенциал региональной ценовой дифференциации [3].</w:t>
      </w:r>
    </w:p>
    <w:p w14:paraId="52ACA8F3"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Указанные макроэкономические факторы проецируются на конкретные параметры жизни во Владивостоке. Прежде всего, это касается рынка недвижимости. Владивосток стабильно занимает третье место в России по стоимости жилья, уступая лишь Москве и Санкт-Петербургу. Цена одного квадратного метра на вторичном рынке превышает 260 тысяч рублей [2]. Причина кроется в ограниченных территориях для застройки, обусловленных большим количеством портовых и военных объектов в черте города. Стоимость однокомнатной квартиры в новостройке стартует от 6 млн рублей, а на вторичном рынке — от 5,5 млн рублей [2]. Аренда студии или однокомнатной квартиры в приличном районе обходится минимум в 25–30 тысяч рублей, а в летний сезон цены возрастают [2, 4].</w:t>
      </w:r>
    </w:p>
    <w:p w14:paraId="44DA5269" w14:textId="77777777" w:rsid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Высокая стоимость жилья формирует соответствующий уровень потребительских ожиданий и необходимого дохода. Согласно данным социально-экономического мониторинга администрации Владивостока, среднемесячная заработная плата в дальневосточной столице за 2024 год составила 115,3 тысячи рублей [4]. Однако, как показывают расчеты с участием социологов, для комфортной жизни одного человека во Владивостоке требуется ежемесячный бюджет в размере 120–150 тысяч рублей [4]. Структура минимально комфортного бюджета представлена в таблице 2.</w:t>
      </w:r>
    </w:p>
    <w:p w14:paraId="069861B6" w14:textId="77777777" w:rsidR="008D7FFC" w:rsidRPr="008D7FFC" w:rsidRDefault="008D7FFC" w:rsidP="008D7FFC">
      <w:pPr>
        <w:spacing w:after="0" w:line="360" w:lineRule="auto"/>
        <w:ind w:firstLine="709"/>
        <w:jc w:val="both"/>
        <w:rPr>
          <w:rFonts w:ascii="Times New Roman" w:hAnsi="Times New Roman" w:cs="Times New Roman"/>
          <w:sz w:val="28"/>
        </w:rPr>
      </w:pPr>
    </w:p>
    <w:p w14:paraId="1EE9353F" w14:textId="77777777" w:rsidR="008D7FFC" w:rsidRPr="008D7FFC" w:rsidRDefault="008D7FFC" w:rsidP="008D7FFC">
      <w:pPr>
        <w:spacing w:after="0" w:line="360" w:lineRule="auto"/>
        <w:ind w:firstLine="709"/>
        <w:jc w:val="both"/>
        <w:rPr>
          <w:rFonts w:ascii="Times New Roman" w:hAnsi="Times New Roman" w:cs="Times New Roman"/>
          <w:sz w:val="24"/>
        </w:rPr>
      </w:pPr>
      <w:r w:rsidRPr="008D7FFC">
        <w:rPr>
          <w:rFonts w:ascii="Times New Roman" w:hAnsi="Times New Roman" w:cs="Times New Roman"/>
          <w:iCs/>
          <w:sz w:val="24"/>
        </w:rPr>
        <w:t xml:space="preserve">Таблица 2. </w:t>
      </w:r>
      <w:r>
        <w:rPr>
          <w:rFonts w:ascii="Times New Roman" w:hAnsi="Times New Roman" w:cs="Times New Roman"/>
          <w:iCs/>
          <w:sz w:val="24"/>
        </w:rPr>
        <w:t xml:space="preserve">– </w:t>
      </w:r>
      <w:r w:rsidRPr="008D7FFC">
        <w:rPr>
          <w:rFonts w:ascii="Times New Roman" w:hAnsi="Times New Roman" w:cs="Times New Roman"/>
          <w:iCs/>
          <w:sz w:val="24"/>
        </w:rPr>
        <w:t>Оценка структуры ежемесячных расходов на одного человека во Владивостоке для обеспечения комфортного уровня жизни, руб.</w:t>
      </w:r>
    </w:p>
    <w:tbl>
      <w:tblPr>
        <w:tblStyle w:val="a7"/>
        <w:tblW w:w="5000" w:type="pct"/>
        <w:tblLook w:val="04A0" w:firstRow="1" w:lastRow="0" w:firstColumn="1" w:lastColumn="0" w:noHBand="0" w:noVBand="1"/>
      </w:tblPr>
      <w:tblGrid>
        <w:gridCol w:w="6857"/>
        <w:gridCol w:w="2771"/>
      </w:tblGrid>
      <w:tr w:rsidR="008D7FFC" w:rsidRPr="008D7FFC" w14:paraId="074C68FF" w14:textId="77777777" w:rsidTr="008D7FFC">
        <w:tc>
          <w:tcPr>
            <w:tcW w:w="3561" w:type="pct"/>
            <w:hideMark/>
          </w:tcPr>
          <w:p w14:paraId="73AC7937" w14:textId="77777777" w:rsidR="008D7FFC" w:rsidRPr="008D7FFC" w:rsidRDefault="008D7FFC" w:rsidP="008D7FFC">
            <w:pPr>
              <w:jc w:val="center"/>
              <w:rPr>
                <w:rFonts w:ascii="Times New Roman" w:eastAsia="Times New Roman" w:hAnsi="Times New Roman" w:cs="Times New Roman"/>
                <w:bCs/>
                <w:sz w:val="24"/>
                <w:szCs w:val="24"/>
                <w:lang w:eastAsia="ru-RU"/>
              </w:rPr>
            </w:pPr>
            <w:r w:rsidRPr="008D7FFC">
              <w:rPr>
                <w:rFonts w:ascii="Times New Roman" w:eastAsia="Times New Roman" w:hAnsi="Times New Roman" w:cs="Times New Roman"/>
                <w:bCs/>
                <w:sz w:val="24"/>
                <w:szCs w:val="24"/>
                <w:lang w:eastAsia="ru-RU"/>
              </w:rPr>
              <w:t>Статья расходов</w:t>
            </w:r>
          </w:p>
        </w:tc>
        <w:tc>
          <w:tcPr>
            <w:tcW w:w="1439" w:type="pct"/>
            <w:hideMark/>
          </w:tcPr>
          <w:p w14:paraId="3AB33030" w14:textId="77777777" w:rsidR="008D7FFC" w:rsidRPr="008D7FFC" w:rsidRDefault="008D7FFC" w:rsidP="008D7FFC">
            <w:pPr>
              <w:jc w:val="center"/>
              <w:rPr>
                <w:rFonts w:ascii="Times New Roman" w:eastAsia="Times New Roman" w:hAnsi="Times New Roman" w:cs="Times New Roman"/>
                <w:bCs/>
                <w:sz w:val="24"/>
                <w:szCs w:val="24"/>
                <w:lang w:eastAsia="ru-RU"/>
              </w:rPr>
            </w:pPr>
            <w:r w:rsidRPr="008D7FFC">
              <w:rPr>
                <w:rFonts w:ascii="Times New Roman" w:eastAsia="Times New Roman" w:hAnsi="Times New Roman" w:cs="Times New Roman"/>
                <w:bCs/>
                <w:sz w:val="24"/>
                <w:szCs w:val="24"/>
                <w:lang w:eastAsia="ru-RU"/>
              </w:rPr>
              <w:t>Сумма, тыс. руб.</w:t>
            </w:r>
          </w:p>
        </w:tc>
      </w:tr>
      <w:tr w:rsidR="008D7FFC" w:rsidRPr="008D7FFC" w14:paraId="05C3AA84" w14:textId="77777777" w:rsidTr="008D7FFC">
        <w:tc>
          <w:tcPr>
            <w:tcW w:w="3561" w:type="pct"/>
            <w:hideMark/>
          </w:tcPr>
          <w:p w14:paraId="1964C406"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Аренда квартиры или платежи по ипотеке</w:t>
            </w:r>
          </w:p>
        </w:tc>
        <w:tc>
          <w:tcPr>
            <w:tcW w:w="1439" w:type="pct"/>
            <w:hideMark/>
          </w:tcPr>
          <w:p w14:paraId="49C0D54C"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40–50</w:t>
            </w:r>
          </w:p>
        </w:tc>
      </w:tr>
      <w:tr w:rsidR="008D7FFC" w:rsidRPr="008D7FFC" w14:paraId="56909C7E" w14:textId="77777777" w:rsidTr="008D7FFC">
        <w:tc>
          <w:tcPr>
            <w:tcW w:w="3561" w:type="pct"/>
            <w:hideMark/>
          </w:tcPr>
          <w:p w14:paraId="3E713EA1"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Продукты питания</w:t>
            </w:r>
          </w:p>
        </w:tc>
        <w:tc>
          <w:tcPr>
            <w:tcW w:w="1439" w:type="pct"/>
            <w:hideMark/>
          </w:tcPr>
          <w:p w14:paraId="197C7491"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15–20</w:t>
            </w:r>
          </w:p>
        </w:tc>
      </w:tr>
      <w:tr w:rsidR="008D7FFC" w:rsidRPr="008D7FFC" w14:paraId="0A76CA59" w14:textId="77777777" w:rsidTr="008D7FFC">
        <w:tc>
          <w:tcPr>
            <w:tcW w:w="3561" w:type="pct"/>
            <w:hideMark/>
          </w:tcPr>
          <w:p w14:paraId="04D061FF"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Транспорт (включая содержание автомобиля)</w:t>
            </w:r>
          </w:p>
        </w:tc>
        <w:tc>
          <w:tcPr>
            <w:tcW w:w="1439" w:type="pct"/>
            <w:hideMark/>
          </w:tcPr>
          <w:p w14:paraId="494C2D68"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10–20</w:t>
            </w:r>
          </w:p>
        </w:tc>
      </w:tr>
      <w:tr w:rsidR="008D7FFC" w:rsidRPr="008D7FFC" w14:paraId="7223935E" w14:textId="77777777" w:rsidTr="008D7FFC">
        <w:tc>
          <w:tcPr>
            <w:tcW w:w="3561" w:type="pct"/>
            <w:hideMark/>
          </w:tcPr>
          <w:p w14:paraId="0A3D6A76"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Бьюти-процедуры и уход</w:t>
            </w:r>
          </w:p>
        </w:tc>
        <w:tc>
          <w:tcPr>
            <w:tcW w:w="1439" w:type="pct"/>
            <w:hideMark/>
          </w:tcPr>
          <w:p w14:paraId="7129F832"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15–20</w:t>
            </w:r>
          </w:p>
        </w:tc>
      </w:tr>
      <w:tr w:rsidR="008D7FFC" w:rsidRPr="008D7FFC" w14:paraId="202F5D17" w14:textId="77777777" w:rsidTr="008D7FFC">
        <w:tc>
          <w:tcPr>
            <w:tcW w:w="3561" w:type="pct"/>
            <w:hideMark/>
          </w:tcPr>
          <w:p w14:paraId="59D96B11"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Одежда и обувь</w:t>
            </w:r>
          </w:p>
        </w:tc>
        <w:tc>
          <w:tcPr>
            <w:tcW w:w="1439" w:type="pct"/>
            <w:hideMark/>
          </w:tcPr>
          <w:p w14:paraId="04ED5700"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5–10</w:t>
            </w:r>
          </w:p>
        </w:tc>
      </w:tr>
      <w:tr w:rsidR="008D7FFC" w:rsidRPr="008D7FFC" w14:paraId="56182B85" w14:textId="77777777" w:rsidTr="008D7FFC">
        <w:tc>
          <w:tcPr>
            <w:tcW w:w="3561" w:type="pct"/>
            <w:hideMark/>
          </w:tcPr>
          <w:p w14:paraId="5412F6C6"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Развлечения и минимальные накопления</w:t>
            </w:r>
          </w:p>
        </w:tc>
        <w:tc>
          <w:tcPr>
            <w:tcW w:w="1439" w:type="pct"/>
            <w:hideMark/>
          </w:tcPr>
          <w:p w14:paraId="7691E557" w14:textId="77777777" w:rsidR="008D7FFC" w:rsidRPr="008D7FFC" w:rsidRDefault="008D7FFC" w:rsidP="008D7FFC">
            <w:pPr>
              <w:rPr>
                <w:rFonts w:ascii="Times New Roman" w:eastAsia="Times New Roman" w:hAnsi="Times New Roman" w:cs="Times New Roman"/>
                <w:sz w:val="24"/>
                <w:szCs w:val="24"/>
                <w:lang w:eastAsia="ru-RU"/>
              </w:rPr>
            </w:pPr>
            <w:r w:rsidRPr="008D7FFC">
              <w:rPr>
                <w:rFonts w:ascii="Times New Roman" w:eastAsia="Times New Roman" w:hAnsi="Times New Roman" w:cs="Times New Roman"/>
                <w:sz w:val="24"/>
                <w:szCs w:val="24"/>
                <w:lang w:eastAsia="ru-RU"/>
              </w:rPr>
              <w:t>20–30</w:t>
            </w:r>
          </w:p>
        </w:tc>
      </w:tr>
      <w:tr w:rsidR="008D7FFC" w:rsidRPr="008D7FFC" w14:paraId="6CAB9A51" w14:textId="77777777" w:rsidTr="008D7FFC">
        <w:tc>
          <w:tcPr>
            <w:tcW w:w="3561" w:type="pct"/>
            <w:hideMark/>
          </w:tcPr>
          <w:p w14:paraId="784A8353" w14:textId="77777777" w:rsidR="008D7FFC" w:rsidRPr="008D7FFC" w:rsidRDefault="008D7FFC" w:rsidP="008D7FFC">
            <w:pPr>
              <w:rPr>
                <w:rFonts w:ascii="Times New Roman" w:eastAsia="Times New Roman" w:hAnsi="Times New Roman" w:cs="Times New Roman"/>
                <w:bCs/>
                <w:sz w:val="24"/>
                <w:szCs w:val="24"/>
                <w:lang w:eastAsia="ru-RU"/>
              </w:rPr>
            </w:pPr>
            <w:r w:rsidRPr="008D7FFC">
              <w:rPr>
                <w:rFonts w:ascii="Times New Roman" w:eastAsia="Times New Roman" w:hAnsi="Times New Roman" w:cs="Times New Roman"/>
                <w:bCs/>
                <w:sz w:val="24"/>
                <w:szCs w:val="24"/>
                <w:lang w:eastAsia="ru-RU"/>
              </w:rPr>
              <w:t>Итого</w:t>
            </w:r>
          </w:p>
        </w:tc>
        <w:tc>
          <w:tcPr>
            <w:tcW w:w="1439" w:type="pct"/>
            <w:hideMark/>
          </w:tcPr>
          <w:p w14:paraId="5D9D0A93" w14:textId="77777777" w:rsidR="008D7FFC" w:rsidRPr="008D7FFC" w:rsidRDefault="008D7FFC" w:rsidP="008D7FFC">
            <w:pPr>
              <w:rPr>
                <w:rFonts w:ascii="Times New Roman" w:eastAsia="Times New Roman" w:hAnsi="Times New Roman" w:cs="Times New Roman"/>
                <w:bCs/>
                <w:sz w:val="24"/>
                <w:szCs w:val="24"/>
                <w:lang w:eastAsia="ru-RU"/>
              </w:rPr>
            </w:pPr>
            <w:r w:rsidRPr="008D7FFC">
              <w:rPr>
                <w:rFonts w:ascii="Times New Roman" w:eastAsia="Times New Roman" w:hAnsi="Times New Roman" w:cs="Times New Roman"/>
                <w:bCs/>
                <w:sz w:val="24"/>
                <w:szCs w:val="24"/>
                <w:lang w:eastAsia="ru-RU"/>
              </w:rPr>
              <w:t>120–150</w:t>
            </w:r>
          </w:p>
        </w:tc>
      </w:tr>
    </w:tbl>
    <w:p w14:paraId="0E4C0B5E" w14:textId="77777777" w:rsidR="008D7FFC" w:rsidRDefault="008D7FFC" w:rsidP="008D7FFC">
      <w:pPr>
        <w:spacing w:after="0"/>
        <w:rPr>
          <w:rFonts w:ascii="Segoe UI" w:hAnsi="Segoe UI" w:cs="Segoe UI"/>
          <w:color w:val="0F1115"/>
          <w:shd w:val="clear" w:color="auto" w:fill="FFFFFF"/>
        </w:rPr>
      </w:pPr>
    </w:p>
    <w:p w14:paraId="165CC508"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lastRenderedPageBreak/>
        <w:t>Обращает на себя внимание тот факт, что даже при средней зарплате выше средней по стране (благодаря дальневосточным надбавкам), владивостокцы сталкиваются с дефицитом бюджета: базовая стоимость жизни "съедает" значительную часть дохода. Особенно чувствительны цены на продукты питания, значительная часть которых является привозной. Стоимость овощей и фруктов здесь традиционно выше, чем в южных регионах России. В январе 2026 года в Приморье, как и по всей стране, наблюдался сезонный рост цен на тепличные овощи (огурцы и помидоры), однако он был менее выраженным, чем в среднем по РФ, что эксперты связывают с высокой долей импорта из стран Азии [5]. Позитивным исключением восьмой месяц подряд остается сахар, который дешевеет благодаря высокому урожаю свеклы и большим переходящим запасам в стране — за год цены на него снизились на 2,8% [5].</w:t>
      </w:r>
    </w:p>
    <w:p w14:paraId="7FFF7A00"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Существенное давление на бюджеты домохозяйств оказывает транспорт. В силу сложного рельефа (город расположен на сопках) и недостаточно развитой сети общественного транспорта, Владивосток считается "столицей праворульных автомобилей". Высокий уровень автомобилизации в сочетании с ограниченным дорожным пространством порождает хронические пробки, однако личный транспорт часто является безальтернативным способом передвижения [2]. Стоимость топлива и обслуживания автомобиля ложится дополнительным бременем на семейный бюджет. При этом стоимость услуг пассажирского транспорта, по данным на начало 2026 года, росла медленнее, чем в среднем по России, благодаря действию субсидированных авиатарифов для дальневосточников [5].</w:t>
      </w:r>
    </w:p>
    <w:p w14:paraId="06F857C0"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 xml:space="preserve">Инфляция модифицирует не только количественные, но и качественные характеристики потребления. Как отмечает социолог Анна Панфилова, в современном обществе потребление все чаще выполняет компенсаторную функцию, замещая дефицит иных сфер жизни (любви, признания, контроля) [4]. Рост цен в такой ситуации ведет не столько к сокращению физического объема потребления, сколько к перераспределению структуры трат в пользу более дешевых аналогов (эффект замещения) либо к отказу от накоплений в пользу </w:t>
      </w:r>
      <w:r w:rsidRPr="008D7FFC">
        <w:rPr>
          <w:rFonts w:ascii="Times New Roman" w:hAnsi="Times New Roman" w:cs="Times New Roman"/>
          <w:sz w:val="28"/>
        </w:rPr>
        <w:lastRenderedPageBreak/>
        <w:t>текущего потребления [1, 4]. Статистика фиксирует, что инфляция в России, хотя и замедлилась в 2025 году, остается выше целевого уровня, что при высокой ключевой ставке (рекордные 21% в конце 2024 – первой половине 2025 года) ограничивает кредитование и сберегательные возможности населения, сжимая реальные располагаемые доходы [3].</w:t>
      </w:r>
    </w:p>
    <w:p w14:paraId="004B1D12"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Проведенный анализ позволяет утверждать, что инфляционные процессы во Владивостоке обладают выраженной региональной спецификой, которая в совокупности с объективными географическими и экономическими факторами формирует более высокий уровень цен по сравнению с центральными регионами России. Удаленность от основных производственных центров, длинное логистическое плечо, климатические условия и ограниченность территорий для жилой застройки создают устойчивую основу для повышенного инфляционного давления. Как следствие, даже при относительно высоких номинальных заработных платах, обусловленных действием дальневосточных надбавок, реальная покупательная способность населения Владивостока оказывается ниже, чем в регионах с сопоставимым уровнем дохода, но более низкой стоимостью жизни. Трансформация потребительской корзины под влиянием роста цен выражается в сокращении потребления дорогостоящих товаров, переходе на более дешевые аналоги и увеличении доли обязательных расходов (жилье, транспорт, базовое продовольствие) в структуре семейных бюджетов. Разрыв в темпах инфляции между Дальним Востоком и центром страны, зафиксированный по итогам 2025 года, свидетельствует о сохранении и даже усилении межрегионального неравенства в уровне цен, что требует от федеральных и региональных органов власти реализации комплекса мер, включающих развитие собственных производств, субсидирование транспортных тарифов и адресную социальную поддержку наиболее уязвимых категорий граждан. Только такой комплексный подход способен нивелировать негативные последствия инфляции и обеспечить достойное качество жизни населения в стратегически важном для страны дальневосточном регионе.</w:t>
      </w:r>
    </w:p>
    <w:p w14:paraId="5CA6F77B" w14:textId="77777777" w:rsidR="008D7FFC" w:rsidRPr="008D7FFC" w:rsidRDefault="008D7FFC" w:rsidP="008D7FFC">
      <w:pPr>
        <w:spacing w:after="0" w:line="360" w:lineRule="auto"/>
        <w:ind w:firstLine="709"/>
        <w:jc w:val="both"/>
        <w:rPr>
          <w:rFonts w:ascii="Times New Roman" w:hAnsi="Times New Roman" w:cs="Times New Roman"/>
          <w:sz w:val="28"/>
        </w:rPr>
      </w:pPr>
    </w:p>
    <w:p w14:paraId="0C710F84" w14:textId="77777777" w:rsidR="008D7FFC" w:rsidRPr="00A40F7A" w:rsidRDefault="008D7FFC" w:rsidP="008D7FFC">
      <w:pPr>
        <w:spacing w:after="0" w:line="360" w:lineRule="auto"/>
        <w:jc w:val="center"/>
        <w:rPr>
          <w:rFonts w:ascii="Times New Roman" w:hAnsi="Times New Roman" w:cs="Times New Roman"/>
          <w:b/>
          <w:bCs/>
          <w:sz w:val="28"/>
        </w:rPr>
      </w:pPr>
      <w:r w:rsidRPr="00A40F7A">
        <w:rPr>
          <w:rFonts w:ascii="Times New Roman" w:hAnsi="Times New Roman" w:cs="Times New Roman"/>
          <w:b/>
          <w:bCs/>
          <w:sz w:val="28"/>
        </w:rPr>
        <w:lastRenderedPageBreak/>
        <w:t>Список литературы</w:t>
      </w:r>
    </w:p>
    <w:p w14:paraId="686CF70B"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1. Сушко П. А. Влияние инфляции на потребительскую корзину населения Приморского края //Экономика и социум. – 2023. – №. 12 (115)-2. – С. 1245-1252.</w:t>
      </w:r>
    </w:p>
    <w:p w14:paraId="374E54C3"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2. Жизнь во Владивостоке: зарплаты, климат, сколько стоит жилье. – [Электронный ресурс]. – URL: https://journal.sovcombank.ru/umnii-potrebitel/zhizn-vo-vladivostoke-zarplati-klimat-skolko-stoit-zhile (дата обращения: 02.03.2026).</w:t>
      </w:r>
    </w:p>
    <w:p w14:paraId="531688AB"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3. Инфляция в регионах традиционно различается, но рост цен должен быть обоснованным. – [Электронный ресурс]. – URL: https://regcomment.ru/analytics/inflyatsiya-v-regionah-traditsionno-razlichaetsya-no-rost-tsen-dolzhen-byt-obosnovannym/ (дата обращения: 03.03.2026).</w:t>
      </w:r>
    </w:p>
    <w:p w14:paraId="2285DB12"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4. 150 тысяч в месяц – новая реальность? Цена комфортной жизни во Владивостоке по мнению социолога. – [Электронный ресурс]. – URL: https://www.dv.kp.ru/daily/27691.5/5080301/ (дата обращения: 03.03.2026).</w:t>
      </w:r>
    </w:p>
    <w:p w14:paraId="0431F7F1" w14:textId="77777777" w:rsidR="008D7FFC" w:rsidRPr="008D7FFC" w:rsidRDefault="008D7FFC" w:rsidP="008D7FFC">
      <w:pPr>
        <w:spacing w:after="0" w:line="360" w:lineRule="auto"/>
        <w:ind w:firstLine="709"/>
        <w:jc w:val="both"/>
        <w:rPr>
          <w:rFonts w:ascii="Times New Roman" w:hAnsi="Times New Roman" w:cs="Times New Roman"/>
          <w:sz w:val="28"/>
        </w:rPr>
      </w:pPr>
      <w:r w:rsidRPr="008D7FFC">
        <w:rPr>
          <w:rFonts w:ascii="Times New Roman" w:hAnsi="Times New Roman" w:cs="Times New Roman"/>
          <w:sz w:val="28"/>
        </w:rPr>
        <w:t>5. Дальневосточное ГУ Банка России. – [Электронный ресурс]. – URL: https://www.chuguevsky.ru/administraciya/dalnevostochnoe-gu-banka-rossii/?clear_cache=Y (дата обращения: 03.03.2026).</w:t>
      </w:r>
    </w:p>
    <w:sectPr w:rsidR="008D7FFC" w:rsidRPr="008D7FFC" w:rsidSect="006629A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D7EFD"/>
    <w:multiLevelType w:val="multilevel"/>
    <w:tmpl w:val="01C2C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9B5B26"/>
    <w:multiLevelType w:val="multilevel"/>
    <w:tmpl w:val="2096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CA594E"/>
    <w:multiLevelType w:val="multilevel"/>
    <w:tmpl w:val="A938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CF5EE2"/>
    <w:multiLevelType w:val="multilevel"/>
    <w:tmpl w:val="AA48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62019C"/>
    <w:multiLevelType w:val="multilevel"/>
    <w:tmpl w:val="C63A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997DFA"/>
    <w:multiLevelType w:val="multilevel"/>
    <w:tmpl w:val="7554B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4454759">
    <w:abstractNumId w:val="4"/>
  </w:num>
  <w:num w:numId="2" w16cid:durableId="1257326776">
    <w:abstractNumId w:val="5"/>
  </w:num>
  <w:num w:numId="3" w16cid:durableId="2115322250">
    <w:abstractNumId w:val="2"/>
  </w:num>
  <w:num w:numId="4" w16cid:durableId="386144172">
    <w:abstractNumId w:val="3"/>
  </w:num>
  <w:num w:numId="5" w16cid:durableId="594675244">
    <w:abstractNumId w:val="0"/>
  </w:num>
  <w:num w:numId="6" w16cid:durableId="2033535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987"/>
    <w:rsid w:val="000D1B52"/>
    <w:rsid w:val="000D32CF"/>
    <w:rsid w:val="00132F04"/>
    <w:rsid w:val="00180569"/>
    <w:rsid w:val="001A11D5"/>
    <w:rsid w:val="001A6941"/>
    <w:rsid w:val="002C3D8E"/>
    <w:rsid w:val="002C5323"/>
    <w:rsid w:val="004E55A5"/>
    <w:rsid w:val="00510FDD"/>
    <w:rsid w:val="007B083D"/>
    <w:rsid w:val="008D7FFC"/>
    <w:rsid w:val="00942EAA"/>
    <w:rsid w:val="009A6987"/>
    <w:rsid w:val="00A03841"/>
    <w:rsid w:val="00A40F7A"/>
    <w:rsid w:val="00BF392F"/>
    <w:rsid w:val="00E11F19"/>
    <w:rsid w:val="00E160D3"/>
    <w:rsid w:val="00E4792E"/>
    <w:rsid w:val="00E63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3E0F"/>
  <w15:chartTrackingRefBased/>
  <w15:docId w15:val="{F70B8D98-A931-4796-A551-25C1909F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987"/>
  </w:style>
  <w:style w:type="paragraph" w:styleId="1">
    <w:name w:val="heading 1"/>
    <w:basedOn w:val="a"/>
    <w:next w:val="a"/>
    <w:link w:val="10"/>
    <w:uiPriority w:val="9"/>
    <w:qFormat/>
    <w:rsid w:val="008D7F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8D7F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D7FF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7F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D7FFC"/>
    <w:rPr>
      <w:color w:val="0563C1" w:themeColor="hyperlink"/>
      <w:u w:val="single"/>
    </w:rPr>
  </w:style>
  <w:style w:type="character" w:customStyle="1" w:styleId="20">
    <w:name w:val="Заголовок 2 Знак"/>
    <w:basedOn w:val="a0"/>
    <w:link w:val="2"/>
    <w:uiPriority w:val="9"/>
    <w:rsid w:val="008D7FF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D7FFC"/>
    <w:rPr>
      <w:rFonts w:ascii="Times New Roman" w:eastAsia="Times New Roman" w:hAnsi="Times New Roman" w:cs="Times New Roman"/>
      <w:b/>
      <w:bCs/>
      <w:sz w:val="27"/>
      <w:szCs w:val="27"/>
      <w:lang w:eastAsia="ru-RU"/>
    </w:rPr>
  </w:style>
  <w:style w:type="character" w:customStyle="1" w:styleId="font-medium">
    <w:name w:val="font-medium"/>
    <w:basedOn w:val="a0"/>
    <w:rsid w:val="008D7FFC"/>
  </w:style>
  <w:style w:type="paragraph" w:customStyle="1" w:styleId="mt-2">
    <w:name w:val="mt-2"/>
    <w:basedOn w:val="a"/>
    <w:rsid w:val="008D7F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8D7FFC"/>
    <w:rPr>
      <w:i/>
      <w:iCs/>
    </w:rPr>
  </w:style>
  <w:style w:type="character" w:styleId="a6">
    <w:name w:val="Strong"/>
    <w:basedOn w:val="a0"/>
    <w:uiPriority w:val="22"/>
    <w:qFormat/>
    <w:rsid w:val="008D7FFC"/>
    <w:rPr>
      <w:b/>
      <w:bCs/>
    </w:rPr>
  </w:style>
  <w:style w:type="character" w:customStyle="1" w:styleId="10">
    <w:name w:val="Заголовок 1 Знак"/>
    <w:basedOn w:val="a0"/>
    <w:link w:val="1"/>
    <w:uiPriority w:val="9"/>
    <w:rsid w:val="008D7FFC"/>
    <w:rPr>
      <w:rFonts w:asciiTheme="majorHAnsi" w:eastAsiaTheme="majorEastAsia" w:hAnsiTheme="majorHAnsi" w:cstheme="majorBidi"/>
      <w:color w:val="2F5496" w:themeColor="accent1" w:themeShade="BF"/>
      <w:sz w:val="32"/>
      <w:szCs w:val="32"/>
    </w:rPr>
  </w:style>
  <w:style w:type="paragraph" w:customStyle="1" w:styleId="ds-markdown-paragraph">
    <w:name w:val="ds-markdown-paragraph"/>
    <w:basedOn w:val="a"/>
    <w:rsid w:val="008D7FF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8D7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A038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A0384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85555">
      <w:bodyDiv w:val="1"/>
      <w:marLeft w:val="0"/>
      <w:marRight w:val="0"/>
      <w:marTop w:val="0"/>
      <w:marBottom w:val="0"/>
      <w:divBdr>
        <w:top w:val="none" w:sz="0" w:space="0" w:color="auto"/>
        <w:left w:val="none" w:sz="0" w:space="0" w:color="auto"/>
        <w:bottom w:val="none" w:sz="0" w:space="0" w:color="auto"/>
        <w:right w:val="none" w:sz="0" w:space="0" w:color="auto"/>
      </w:divBdr>
    </w:div>
    <w:div w:id="289046088">
      <w:bodyDiv w:val="1"/>
      <w:marLeft w:val="0"/>
      <w:marRight w:val="0"/>
      <w:marTop w:val="0"/>
      <w:marBottom w:val="0"/>
      <w:divBdr>
        <w:top w:val="none" w:sz="0" w:space="0" w:color="auto"/>
        <w:left w:val="none" w:sz="0" w:space="0" w:color="auto"/>
        <w:bottom w:val="none" w:sz="0" w:space="0" w:color="auto"/>
        <w:right w:val="none" w:sz="0" w:space="0" w:color="auto"/>
      </w:divBdr>
    </w:div>
    <w:div w:id="383481596">
      <w:bodyDiv w:val="1"/>
      <w:marLeft w:val="0"/>
      <w:marRight w:val="0"/>
      <w:marTop w:val="0"/>
      <w:marBottom w:val="0"/>
      <w:divBdr>
        <w:top w:val="none" w:sz="0" w:space="0" w:color="auto"/>
        <w:left w:val="none" w:sz="0" w:space="0" w:color="auto"/>
        <w:bottom w:val="none" w:sz="0" w:space="0" w:color="auto"/>
        <w:right w:val="none" w:sz="0" w:space="0" w:color="auto"/>
      </w:divBdr>
    </w:div>
    <w:div w:id="630981217">
      <w:bodyDiv w:val="1"/>
      <w:marLeft w:val="0"/>
      <w:marRight w:val="0"/>
      <w:marTop w:val="0"/>
      <w:marBottom w:val="0"/>
      <w:divBdr>
        <w:top w:val="none" w:sz="0" w:space="0" w:color="auto"/>
        <w:left w:val="none" w:sz="0" w:space="0" w:color="auto"/>
        <w:bottom w:val="none" w:sz="0" w:space="0" w:color="auto"/>
        <w:right w:val="none" w:sz="0" w:space="0" w:color="auto"/>
      </w:divBdr>
    </w:div>
    <w:div w:id="836648764">
      <w:bodyDiv w:val="1"/>
      <w:marLeft w:val="0"/>
      <w:marRight w:val="0"/>
      <w:marTop w:val="0"/>
      <w:marBottom w:val="0"/>
      <w:divBdr>
        <w:top w:val="none" w:sz="0" w:space="0" w:color="auto"/>
        <w:left w:val="none" w:sz="0" w:space="0" w:color="auto"/>
        <w:bottom w:val="none" w:sz="0" w:space="0" w:color="auto"/>
        <w:right w:val="none" w:sz="0" w:space="0" w:color="auto"/>
      </w:divBdr>
      <w:divsChild>
        <w:div w:id="142090504">
          <w:marLeft w:val="0"/>
          <w:marRight w:val="0"/>
          <w:marTop w:val="360"/>
          <w:marBottom w:val="345"/>
          <w:divBdr>
            <w:top w:val="none" w:sz="0" w:space="0" w:color="auto"/>
            <w:left w:val="none" w:sz="0" w:space="0" w:color="auto"/>
            <w:bottom w:val="none" w:sz="0" w:space="0" w:color="auto"/>
            <w:right w:val="none" w:sz="0" w:space="0" w:color="auto"/>
          </w:divBdr>
          <w:divsChild>
            <w:div w:id="1095243394">
              <w:marLeft w:val="0"/>
              <w:marRight w:val="0"/>
              <w:marTop w:val="0"/>
              <w:marBottom w:val="0"/>
              <w:divBdr>
                <w:top w:val="none" w:sz="0" w:space="0" w:color="auto"/>
                <w:left w:val="none" w:sz="0" w:space="0" w:color="auto"/>
                <w:bottom w:val="none" w:sz="0" w:space="0" w:color="auto"/>
                <w:right w:val="none" w:sz="0" w:space="0" w:color="auto"/>
              </w:divBdr>
              <w:divsChild>
                <w:div w:id="26092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693570">
          <w:marLeft w:val="1350"/>
          <w:marRight w:val="0"/>
          <w:marTop w:val="0"/>
          <w:marBottom w:val="225"/>
          <w:divBdr>
            <w:top w:val="none" w:sz="0" w:space="0" w:color="auto"/>
            <w:left w:val="none" w:sz="0" w:space="0" w:color="auto"/>
            <w:bottom w:val="none" w:sz="0" w:space="0" w:color="auto"/>
            <w:right w:val="none" w:sz="0" w:space="0" w:color="auto"/>
          </w:divBdr>
          <w:divsChild>
            <w:div w:id="199900036">
              <w:marLeft w:val="0"/>
              <w:marRight w:val="0"/>
              <w:marTop w:val="0"/>
              <w:marBottom w:val="0"/>
              <w:divBdr>
                <w:top w:val="single" w:sz="6" w:space="15" w:color="F7F7F7"/>
                <w:left w:val="none" w:sz="0" w:space="0" w:color="auto"/>
                <w:bottom w:val="single" w:sz="6" w:space="15" w:color="F7F7F7"/>
                <w:right w:val="none" w:sz="0" w:space="0" w:color="auto"/>
              </w:divBdr>
              <w:divsChild>
                <w:div w:id="590548343">
                  <w:marLeft w:val="0"/>
                  <w:marRight w:val="0"/>
                  <w:marTop w:val="0"/>
                  <w:marBottom w:val="0"/>
                  <w:divBdr>
                    <w:top w:val="none" w:sz="0" w:space="0" w:color="auto"/>
                    <w:left w:val="none" w:sz="0" w:space="0" w:color="auto"/>
                    <w:bottom w:val="none" w:sz="0" w:space="0" w:color="auto"/>
                    <w:right w:val="none" w:sz="0" w:space="0" w:color="auto"/>
                  </w:divBdr>
                </w:div>
                <w:div w:id="1730762468">
                  <w:marLeft w:val="0"/>
                  <w:marRight w:val="0"/>
                  <w:marTop w:val="0"/>
                  <w:marBottom w:val="0"/>
                  <w:divBdr>
                    <w:top w:val="none" w:sz="0" w:space="0" w:color="auto"/>
                    <w:left w:val="none" w:sz="0" w:space="0" w:color="auto"/>
                    <w:bottom w:val="none" w:sz="0" w:space="0" w:color="auto"/>
                    <w:right w:val="none" w:sz="0" w:space="0" w:color="auto"/>
                  </w:divBdr>
                  <w:divsChild>
                    <w:div w:id="772749543">
                      <w:marLeft w:val="0"/>
                      <w:marRight w:val="0"/>
                      <w:marTop w:val="0"/>
                      <w:marBottom w:val="60"/>
                      <w:divBdr>
                        <w:top w:val="none" w:sz="0" w:space="0" w:color="auto"/>
                        <w:left w:val="none" w:sz="0" w:space="0" w:color="auto"/>
                        <w:bottom w:val="none" w:sz="0" w:space="0" w:color="auto"/>
                        <w:right w:val="none" w:sz="0" w:space="0" w:color="auto"/>
                      </w:divBdr>
                    </w:div>
                    <w:div w:id="6365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8552">
          <w:marLeft w:val="0"/>
          <w:marRight w:val="0"/>
          <w:marTop w:val="360"/>
          <w:marBottom w:val="345"/>
          <w:divBdr>
            <w:top w:val="none" w:sz="0" w:space="0" w:color="auto"/>
            <w:left w:val="none" w:sz="0" w:space="0" w:color="auto"/>
            <w:bottom w:val="none" w:sz="0" w:space="0" w:color="auto"/>
            <w:right w:val="none" w:sz="0" w:space="0" w:color="auto"/>
          </w:divBdr>
          <w:divsChild>
            <w:div w:id="1965840827">
              <w:marLeft w:val="0"/>
              <w:marRight w:val="0"/>
              <w:marTop w:val="0"/>
              <w:marBottom w:val="0"/>
              <w:divBdr>
                <w:top w:val="none" w:sz="0" w:space="0" w:color="auto"/>
                <w:left w:val="none" w:sz="0" w:space="0" w:color="auto"/>
                <w:bottom w:val="none" w:sz="0" w:space="0" w:color="auto"/>
                <w:right w:val="none" w:sz="0" w:space="0" w:color="auto"/>
              </w:divBdr>
              <w:divsChild>
                <w:div w:id="656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127065">
          <w:marLeft w:val="1350"/>
          <w:marRight w:val="0"/>
          <w:marTop w:val="0"/>
          <w:marBottom w:val="225"/>
          <w:divBdr>
            <w:top w:val="none" w:sz="0" w:space="0" w:color="auto"/>
            <w:left w:val="none" w:sz="0" w:space="0" w:color="auto"/>
            <w:bottom w:val="none" w:sz="0" w:space="0" w:color="auto"/>
            <w:right w:val="none" w:sz="0" w:space="0" w:color="auto"/>
          </w:divBdr>
          <w:divsChild>
            <w:div w:id="1967656053">
              <w:marLeft w:val="0"/>
              <w:marRight w:val="0"/>
              <w:marTop w:val="0"/>
              <w:marBottom w:val="0"/>
              <w:divBdr>
                <w:top w:val="single" w:sz="6" w:space="15" w:color="F7F7F7"/>
                <w:left w:val="none" w:sz="0" w:space="0" w:color="auto"/>
                <w:bottom w:val="single" w:sz="6" w:space="15" w:color="F7F7F7"/>
                <w:right w:val="none" w:sz="0" w:space="0" w:color="auto"/>
              </w:divBdr>
              <w:divsChild>
                <w:div w:id="613172884">
                  <w:marLeft w:val="0"/>
                  <w:marRight w:val="0"/>
                  <w:marTop w:val="0"/>
                  <w:marBottom w:val="0"/>
                  <w:divBdr>
                    <w:top w:val="none" w:sz="0" w:space="0" w:color="auto"/>
                    <w:left w:val="none" w:sz="0" w:space="0" w:color="auto"/>
                    <w:bottom w:val="none" w:sz="0" w:space="0" w:color="auto"/>
                    <w:right w:val="none" w:sz="0" w:space="0" w:color="auto"/>
                  </w:divBdr>
                </w:div>
                <w:div w:id="1971742130">
                  <w:marLeft w:val="0"/>
                  <w:marRight w:val="0"/>
                  <w:marTop w:val="0"/>
                  <w:marBottom w:val="0"/>
                  <w:divBdr>
                    <w:top w:val="none" w:sz="0" w:space="0" w:color="auto"/>
                    <w:left w:val="none" w:sz="0" w:space="0" w:color="auto"/>
                    <w:bottom w:val="none" w:sz="0" w:space="0" w:color="auto"/>
                    <w:right w:val="none" w:sz="0" w:space="0" w:color="auto"/>
                  </w:divBdr>
                  <w:divsChild>
                    <w:div w:id="1559706889">
                      <w:marLeft w:val="0"/>
                      <w:marRight w:val="0"/>
                      <w:marTop w:val="0"/>
                      <w:marBottom w:val="60"/>
                      <w:divBdr>
                        <w:top w:val="none" w:sz="0" w:space="0" w:color="auto"/>
                        <w:left w:val="none" w:sz="0" w:space="0" w:color="auto"/>
                        <w:bottom w:val="none" w:sz="0" w:space="0" w:color="auto"/>
                        <w:right w:val="none" w:sz="0" w:space="0" w:color="auto"/>
                      </w:divBdr>
                    </w:div>
                    <w:div w:id="5935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567930">
          <w:marLeft w:val="0"/>
          <w:marRight w:val="0"/>
          <w:marTop w:val="360"/>
          <w:marBottom w:val="345"/>
          <w:divBdr>
            <w:top w:val="none" w:sz="0" w:space="0" w:color="auto"/>
            <w:left w:val="none" w:sz="0" w:space="0" w:color="auto"/>
            <w:bottom w:val="none" w:sz="0" w:space="0" w:color="auto"/>
            <w:right w:val="none" w:sz="0" w:space="0" w:color="auto"/>
          </w:divBdr>
          <w:divsChild>
            <w:div w:id="1689982815">
              <w:marLeft w:val="0"/>
              <w:marRight w:val="0"/>
              <w:marTop w:val="0"/>
              <w:marBottom w:val="0"/>
              <w:divBdr>
                <w:top w:val="none" w:sz="0" w:space="0" w:color="auto"/>
                <w:left w:val="none" w:sz="0" w:space="0" w:color="auto"/>
                <w:bottom w:val="none" w:sz="0" w:space="0" w:color="auto"/>
                <w:right w:val="none" w:sz="0" w:space="0" w:color="auto"/>
              </w:divBdr>
              <w:divsChild>
                <w:div w:id="18496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89835">
          <w:marLeft w:val="0"/>
          <w:marRight w:val="0"/>
          <w:marTop w:val="360"/>
          <w:marBottom w:val="345"/>
          <w:divBdr>
            <w:top w:val="none" w:sz="0" w:space="0" w:color="auto"/>
            <w:left w:val="none" w:sz="0" w:space="0" w:color="auto"/>
            <w:bottom w:val="none" w:sz="0" w:space="0" w:color="auto"/>
            <w:right w:val="none" w:sz="0" w:space="0" w:color="auto"/>
          </w:divBdr>
          <w:divsChild>
            <w:div w:id="1416903320">
              <w:marLeft w:val="0"/>
              <w:marRight w:val="0"/>
              <w:marTop w:val="0"/>
              <w:marBottom w:val="0"/>
              <w:divBdr>
                <w:top w:val="none" w:sz="0" w:space="0" w:color="auto"/>
                <w:left w:val="none" w:sz="0" w:space="0" w:color="auto"/>
                <w:bottom w:val="none" w:sz="0" w:space="0" w:color="auto"/>
                <w:right w:val="none" w:sz="0" w:space="0" w:color="auto"/>
              </w:divBdr>
              <w:divsChild>
                <w:div w:id="120463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503857">
      <w:bodyDiv w:val="1"/>
      <w:marLeft w:val="0"/>
      <w:marRight w:val="0"/>
      <w:marTop w:val="0"/>
      <w:marBottom w:val="0"/>
      <w:divBdr>
        <w:top w:val="none" w:sz="0" w:space="0" w:color="auto"/>
        <w:left w:val="none" w:sz="0" w:space="0" w:color="auto"/>
        <w:bottom w:val="none" w:sz="0" w:space="0" w:color="auto"/>
        <w:right w:val="none" w:sz="0" w:space="0" w:color="auto"/>
      </w:divBdr>
    </w:div>
    <w:div w:id="1257522796">
      <w:bodyDiv w:val="1"/>
      <w:marLeft w:val="0"/>
      <w:marRight w:val="0"/>
      <w:marTop w:val="0"/>
      <w:marBottom w:val="0"/>
      <w:divBdr>
        <w:top w:val="none" w:sz="0" w:space="0" w:color="auto"/>
        <w:left w:val="none" w:sz="0" w:space="0" w:color="auto"/>
        <w:bottom w:val="none" w:sz="0" w:space="0" w:color="auto"/>
        <w:right w:val="none" w:sz="0" w:space="0" w:color="auto"/>
      </w:divBdr>
    </w:div>
    <w:div w:id="1371102398">
      <w:bodyDiv w:val="1"/>
      <w:marLeft w:val="0"/>
      <w:marRight w:val="0"/>
      <w:marTop w:val="0"/>
      <w:marBottom w:val="0"/>
      <w:divBdr>
        <w:top w:val="none" w:sz="0" w:space="0" w:color="auto"/>
        <w:left w:val="none" w:sz="0" w:space="0" w:color="auto"/>
        <w:bottom w:val="none" w:sz="0" w:space="0" w:color="auto"/>
        <w:right w:val="none" w:sz="0" w:space="0" w:color="auto"/>
      </w:divBdr>
    </w:div>
    <w:div w:id="1382368057">
      <w:bodyDiv w:val="1"/>
      <w:marLeft w:val="0"/>
      <w:marRight w:val="0"/>
      <w:marTop w:val="0"/>
      <w:marBottom w:val="0"/>
      <w:divBdr>
        <w:top w:val="none" w:sz="0" w:space="0" w:color="auto"/>
        <w:left w:val="none" w:sz="0" w:space="0" w:color="auto"/>
        <w:bottom w:val="none" w:sz="0" w:space="0" w:color="auto"/>
        <w:right w:val="none" w:sz="0" w:space="0" w:color="auto"/>
      </w:divBdr>
    </w:div>
    <w:div w:id="1420757316">
      <w:bodyDiv w:val="1"/>
      <w:marLeft w:val="0"/>
      <w:marRight w:val="0"/>
      <w:marTop w:val="0"/>
      <w:marBottom w:val="0"/>
      <w:divBdr>
        <w:top w:val="none" w:sz="0" w:space="0" w:color="auto"/>
        <w:left w:val="none" w:sz="0" w:space="0" w:color="auto"/>
        <w:bottom w:val="none" w:sz="0" w:space="0" w:color="auto"/>
        <w:right w:val="none" w:sz="0" w:space="0" w:color="auto"/>
      </w:divBdr>
    </w:div>
    <w:div w:id="1461419337">
      <w:bodyDiv w:val="1"/>
      <w:marLeft w:val="0"/>
      <w:marRight w:val="0"/>
      <w:marTop w:val="0"/>
      <w:marBottom w:val="0"/>
      <w:divBdr>
        <w:top w:val="none" w:sz="0" w:space="0" w:color="auto"/>
        <w:left w:val="none" w:sz="0" w:space="0" w:color="auto"/>
        <w:bottom w:val="none" w:sz="0" w:space="0" w:color="auto"/>
        <w:right w:val="none" w:sz="0" w:space="0" w:color="auto"/>
      </w:divBdr>
    </w:div>
    <w:div w:id="1504932791">
      <w:bodyDiv w:val="1"/>
      <w:marLeft w:val="0"/>
      <w:marRight w:val="0"/>
      <w:marTop w:val="0"/>
      <w:marBottom w:val="0"/>
      <w:divBdr>
        <w:top w:val="none" w:sz="0" w:space="0" w:color="auto"/>
        <w:left w:val="none" w:sz="0" w:space="0" w:color="auto"/>
        <w:bottom w:val="none" w:sz="0" w:space="0" w:color="auto"/>
        <w:right w:val="none" w:sz="0" w:space="0" w:color="auto"/>
      </w:divBdr>
      <w:divsChild>
        <w:div w:id="2142384219">
          <w:marLeft w:val="0"/>
          <w:marRight w:val="0"/>
          <w:marTop w:val="0"/>
          <w:marBottom w:val="0"/>
          <w:divBdr>
            <w:top w:val="none" w:sz="0" w:space="0" w:color="auto"/>
            <w:left w:val="none" w:sz="0" w:space="0" w:color="auto"/>
            <w:bottom w:val="none" w:sz="0" w:space="0" w:color="auto"/>
            <w:right w:val="none" w:sz="0" w:space="0" w:color="auto"/>
          </w:divBdr>
        </w:div>
        <w:div w:id="574361288">
          <w:marLeft w:val="0"/>
          <w:marRight w:val="0"/>
          <w:marTop w:val="0"/>
          <w:marBottom w:val="0"/>
          <w:divBdr>
            <w:top w:val="none" w:sz="0" w:space="0" w:color="auto"/>
            <w:left w:val="none" w:sz="0" w:space="0" w:color="auto"/>
            <w:bottom w:val="none" w:sz="0" w:space="0" w:color="auto"/>
            <w:right w:val="none" w:sz="0" w:space="0" w:color="auto"/>
          </w:divBdr>
        </w:div>
        <w:div w:id="623728587">
          <w:marLeft w:val="0"/>
          <w:marRight w:val="0"/>
          <w:marTop w:val="0"/>
          <w:marBottom w:val="0"/>
          <w:divBdr>
            <w:top w:val="none" w:sz="0" w:space="0" w:color="auto"/>
            <w:left w:val="none" w:sz="0" w:space="0" w:color="auto"/>
            <w:bottom w:val="none" w:sz="0" w:space="0" w:color="auto"/>
            <w:right w:val="none" w:sz="0" w:space="0" w:color="auto"/>
          </w:divBdr>
        </w:div>
        <w:div w:id="632055234">
          <w:marLeft w:val="0"/>
          <w:marRight w:val="0"/>
          <w:marTop w:val="0"/>
          <w:marBottom w:val="0"/>
          <w:divBdr>
            <w:top w:val="none" w:sz="0" w:space="0" w:color="auto"/>
            <w:left w:val="none" w:sz="0" w:space="0" w:color="auto"/>
            <w:bottom w:val="none" w:sz="0" w:space="0" w:color="auto"/>
            <w:right w:val="none" w:sz="0" w:space="0" w:color="auto"/>
          </w:divBdr>
          <w:divsChild>
            <w:div w:id="1324044645">
              <w:marLeft w:val="0"/>
              <w:marRight w:val="0"/>
              <w:marTop w:val="0"/>
              <w:marBottom w:val="0"/>
              <w:divBdr>
                <w:top w:val="none" w:sz="0" w:space="0" w:color="auto"/>
                <w:left w:val="none" w:sz="0" w:space="0" w:color="auto"/>
                <w:bottom w:val="none" w:sz="0" w:space="0" w:color="auto"/>
                <w:right w:val="none" w:sz="0" w:space="0" w:color="auto"/>
              </w:divBdr>
              <w:divsChild>
                <w:div w:id="1917934143">
                  <w:marLeft w:val="0"/>
                  <w:marRight w:val="0"/>
                  <w:marTop w:val="0"/>
                  <w:marBottom w:val="0"/>
                  <w:divBdr>
                    <w:top w:val="none" w:sz="0" w:space="0" w:color="auto"/>
                    <w:left w:val="none" w:sz="0" w:space="0" w:color="auto"/>
                    <w:bottom w:val="none" w:sz="0" w:space="0" w:color="auto"/>
                    <w:right w:val="none" w:sz="0" w:space="0" w:color="auto"/>
                  </w:divBdr>
                  <w:divsChild>
                    <w:div w:id="833885343">
                      <w:marLeft w:val="0"/>
                      <w:marRight w:val="0"/>
                      <w:marTop w:val="0"/>
                      <w:marBottom w:val="0"/>
                      <w:divBdr>
                        <w:top w:val="none" w:sz="0" w:space="0" w:color="auto"/>
                        <w:left w:val="none" w:sz="0" w:space="0" w:color="auto"/>
                        <w:bottom w:val="none" w:sz="0" w:space="0" w:color="auto"/>
                        <w:right w:val="none" w:sz="0" w:space="0" w:color="auto"/>
                      </w:divBdr>
                    </w:div>
                    <w:div w:id="88934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6740">
          <w:marLeft w:val="0"/>
          <w:marRight w:val="0"/>
          <w:marTop w:val="0"/>
          <w:marBottom w:val="0"/>
          <w:divBdr>
            <w:top w:val="none" w:sz="0" w:space="0" w:color="auto"/>
            <w:left w:val="none" w:sz="0" w:space="0" w:color="auto"/>
            <w:bottom w:val="none" w:sz="0" w:space="0" w:color="auto"/>
            <w:right w:val="none" w:sz="0" w:space="0" w:color="auto"/>
          </w:divBdr>
        </w:div>
        <w:div w:id="1390884779">
          <w:marLeft w:val="0"/>
          <w:marRight w:val="0"/>
          <w:marTop w:val="0"/>
          <w:marBottom w:val="0"/>
          <w:divBdr>
            <w:top w:val="none" w:sz="0" w:space="0" w:color="auto"/>
            <w:left w:val="none" w:sz="0" w:space="0" w:color="auto"/>
            <w:bottom w:val="none" w:sz="0" w:space="0" w:color="auto"/>
            <w:right w:val="none" w:sz="0" w:space="0" w:color="auto"/>
          </w:divBdr>
          <w:divsChild>
            <w:div w:id="367073240">
              <w:marLeft w:val="0"/>
              <w:marRight w:val="0"/>
              <w:marTop w:val="0"/>
              <w:marBottom w:val="0"/>
              <w:divBdr>
                <w:top w:val="none" w:sz="0" w:space="0" w:color="auto"/>
                <w:left w:val="none" w:sz="0" w:space="0" w:color="auto"/>
                <w:bottom w:val="none" w:sz="0" w:space="0" w:color="auto"/>
                <w:right w:val="none" w:sz="0" w:space="0" w:color="auto"/>
              </w:divBdr>
              <w:divsChild>
                <w:div w:id="1809933873">
                  <w:marLeft w:val="0"/>
                  <w:marRight w:val="0"/>
                  <w:marTop w:val="0"/>
                  <w:marBottom w:val="0"/>
                  <w:divBdr>
                    <w:top w:val="none" w:sz="0" w:space="0" w:color="auto"/>
                    <w:left w:val="none" w:sz="0" w:space="0" w:color="auto"/>
                    <w:bottom w:val="none" w:sz="0" w:space="0" w:color="auto"/>
                    <w:right w:val="none" w:sz="0" w:space="0" w:color="auto"/>
                  </w:divBdr>
                  <w:divsChild>
                    <w:div w:id="627393135">
                      <w:marLeft w:val="0"/>
                      <w:marRight w:val="0"/>
                      <w:marTop w:val="0"/>
                      <w:marBottom w:val="0"/>
                      <w:divBdr>
                        <w:top w:val="none" w:sz="0" w:space="0" w:color="auto"/>
                        <w:left w:val="none" w:sz="0" w:space="0" w:color="auto"/>
                        <w:bottom w:val="none" w:sz="0" w:space="0" w:color="auto"/>
                        <w:right w:val="none" w:sz="0" w:space="0" w:color="auto"/>
                      </w:divBdr>
                    </w:div>
                    <w:div w:id="10134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916">
          <w:marLeft w:val="0"/>
          <w:marRight w:val="0"/>
          <w:marTop w:val="0"/>
          <w:marBottom w:val="0"/>
          <w:divBdr>
            <w:top w:val="none" w:sz="0" w:space="0" w:color="auto"/>
            <w:left w:val="none" w:sz="0" w:space="0" w:color="auto"/>
            <w:bottom w:val="none" w:sz="0" w:space="0" w:color="auto"/>
            <w:right w:val="none" w:sz="0" w:space="0" w:color="auto"/>
          </w:divBdr>
          <w:divsChild>
            <w:div w:id="621838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6959087">
          <w:marLeft w:val="0"/>
          <w:marRight w:val="0"/>
          <w:marTop w:val="0"/>
          <w:marBottom w:val="0"/>
          <w:divBdr>
            <w:top w:val="none" w:sz="0" w:space="0" w:color="auto"/>
            <w:left w:val="none" w:sz="0" w:space="0" w:color="auto"/>
            <w:bottom w:val="none" w:sz="0" w:space="0" w:color="auto"/>
            <w:right w:val="none" w:sz="0" w:space="0" w:color="auto"/>
          </w:divBdr>
        </w:div>
        <w:div w:id="809591886">
          <w:marLeft w:val="0"/>
          <w:marRight w:val="0"/>
          <w:marTop w:val="0"/>
          <w:marBottom w:val="0"/>
          <w:divBdr>
            <w:top w:val="none" w:sz="0" w:space="0" w:color="auto"/>
            <w:left w:val="none" w:sz="0" w:space="0" w:color="auto"/>
            <w:bottom w:val="none" w:sz="0" w:space="0" w:color="auto"/>
            <w:right w:val="none" w:sz="0" w:space="0" w:color="auto"/>
          </w:divBdr>
        </w:div>
        <w:div w:id="413087266">
          <w:marLeft w:val="0"/>
          <w:marRight w:val="0"/>
          <w:marTop w:val="0"/>
          <w:marBottom w:val="0"/>
          <w:divBdr>
            <w:top w:val="none" w:sz="0" w:space="0" w:color="auto"/>
            <w:left w:val="none" w:sz="0" w:space="0" w:color="auto"/>
            <w:bottom w:val="none" w:sz="0" w:space="0" w:color="auto"/>
            <w:right w:val="none" w:sz="0" w:space="0" w:color="auto"/>
          </w:divBdr>
        </w:div>
        <w:div w:id="1428386561">
          <w:marLeft w:val="0"/>
          <w:marRight w:val="0"/>
          <w:marTop w:val="0"/>
          <w:marBottom w:val="0"/>
          <w:divBdr>
            <w:top w:val="none" w:sz="0" w:space="0" w:color="auto"/>
            <w:left w:val="none" w:sz="0" w:space="0" w:color="auto"/>
            <w:bottom w:val="none" w:sz="0" w:space="0" w:color="auto"/>
            <w:right w:val="none" w:sz="0" w:space="0" w:color="auto"/>
          </w:divBdr>
        </w:div>
        <w:div w:id="482967461">
          <w:marLeft w:val="0"/>
          <w:marRight w:val="0"/>
          <w:marTop w:val="0"/>
          <w:marBottom w:val="0"/>
          <w:divBdr>
            <w:top w:val="none" w:sz="0" w:space="0" w:color="auto"/>
            <w:left w:val="none" w:sz="0" w:space="0" w:color="auto"/>
            <w:bottom w:val="none" w:sz="0" w:space="0" w:color="auto"/>
            <w:right w:val="none" w:sz="0" w:space="0" w:color="auto"/>
          </w:divBdr>
        </w:div>
        <w:div w:id="282031666">
          <w:marLeft w:val="0"/>
          <w:marRight w:val="0"/>
          <w:marTop w:val="0"/>
          <w:marBottom w:val="0"/>
          <w:divBdr>
            <w:top w:val="none" w:sz="0" w:space="0" w:color="auto"/>
            <w:left w:val="none" w:sz="0" w:space="0" w:color="auto"/>
            <w:bottom w:val="none" w:sz="0" w:space="0" w:color="auto"/>
            <w:right w:val="none" w:sz="0" w:space="0" w:color="auto"/>
          </w:divBdr>
        </w:div>
        <w:div w:id="1540511571">
          <w:marLeft w:val="0"/>
          <w:marRight w:val="0"/>
          <w:marTop w:val="0"/>
          <w:marBottom w:val="0"/>
          <w:divBdr>
            <w:top w:val="none" w:sz="0" w:space="0" w:color="auto"/>
            <w:left w:val="none" w:sz="0" w:space="0" w:color="auto"/>
            <w:bottom w:val="none" w:sz="0" w:space="0" w:color="auto"/>
            <w:right w:val="none" w:sz="0" w:space="0" w:color="auto"/>
          </w:divBdr>
          <w:divsChild>
            <w:div w:id="156458236">
              <w:marLeft w:val="0"/>
              <w:marRight w:val="0"/>
              <w:marTop w:val="0"/>
              <w:marBottom w:val="0"/>
              <w:divBdr>
                <w:top w:val="none" w:sz="0" w:space="0" w:color="auto"/>
                <w:left w:val="none" w:sz="0" w:space="0" w:color="auto"/>
                <w:bottom w:val="none" w:sz="0" w:space="0" w:color="auto"/>
                <w:right w:val="none" w:sz="0" w:space="0" w:color="auto"/>
              </w:divBdr>
            </w:div>
          </w:divsChild>
        </w:div>
        <w:div w:id="468548349">
          <w:marLeft w:val="0"/>
          <w:marRight w:val="0"/>
          <w:marTop w:val="0"/>
          <w:marBottom w:val="0"/>
          <w:divBdr>
            <w:top w:val="none" w:sz="0" w:space="0" w:color="auto"/>
            <w:left w:val="none" w:sz="0" w:space="0" w:color="auto"/>
            <w:bottom w:val="none" w:sz="0" w:space="0" w:color="auto"/>
            <w:right w:val="none" w:sz="0" w:space="0" w:color="auto"/>
          </w:divBdr>
        </w:div>
      </w:divsChild>
    </w:div>
    <w:div w:id="1650550983">
      <w:bodyDiv w:val="1"/>
      <w:marLeft w:val="0"/>
      <w:marRight w:val="0"/>
      <w:marTop w:val="0"/>
      <w:marBottom w:val="0"/>
      <w:divBdr>
        <w:top w:val="none" w:sz="0" w:space="0" w:color="auto"/>
        <w:left w:val="none" w:sz="0" w:space="0" w:color="auto"/>
        <w:bottom w:val="none" w:sz="0" w:space="0" w:color="auto"/>
        <w:right w:val="none" w:sz="0" w:space="0" w:color="auto"/>
      </w:divBdr>
    </w:div>
    <w:div w:id="1656297823">
      <w:bodyDiv w:val="1"/>
      <w:marLeft w:val="0"/>
      <w:marRight w:val="0"/>
      <w:marTop w:val="0"/>
      <w:marBottom w:val="0"/>
      <w:divBdr>
        <w:top w:val="none" w:sz="0" w:space="0" w:color="auto"/>
        <w:left w:val="none" w:sz="0" w:space="0" w:color="auto"/>
        <w:bottom w:val="none" w:sz="0" w:space="0" w:color="auto"/>
        <w:right w:val="none" w:sz="0" w:space="0" w:color="auto"/>
      </w:divBdr>
    </w:div>
    <w:div w:id="1778526443">
      <w:bodyDiv w:val="1"/>
      <w:marLeft w:val="0"/>
      <w:marRight w:val="0"/>
      <w:marTop w:val="0"/>
      <w:marBottom w:val="0"/>
      <w:divBdr>
        <w:top w:val="none" w:sz="0" w:space="0" w:color="auto"/>
        <w:left w:val="none" w:sz="0" w:space="0" w:color="auto"/>
        <w:bottom w:val="none" w:sz="0" w:space="0" w:color="auto"/>
        <w:right w:val="none" w:sz="0" w:space="0" w:color="auto"/>
      </w:divBdr>
    </w:div>
    <w:div w:id="1856992346">
      <w:bodyDiv w:val="1"/>
      <w:marLeft w:val="0"/>
      <w:marRight w:val="0"/>
      <w:marTop w:val="0"/>
      <w:marBottom w:val="0"/>
      <w:divBdr>
        <w:top w:val="none" w:sz="0" w:space="0" w:color="auto"/>
        <w:left w:val="none" w:sz="0" w:space="0" w:color="auto"/>
        <w:bottom w:val="none" w:sz="0" w:space="0" w:color="auto"/>
        <w:right w:val="none" w:sz="0" w:space="0" w:color="auto"/>
      </w:divBdr>
    </w:div>
    <w:div w:id="1987855709">
      <w:bodyDiv w:val="1"/>
      <w:marLeft w:val="0"/>
      <w:marRight w:val="0"/>
      <w:marTop w:val="0"/>
      <w:marBottom w:val="0"/>
      <w:divBdr>
        <w:top w:val="none" w:sz="0" w:space="0" w:color="auto"/>
        <w:left w:val="none" w:sz="0" w:space="0" w:color="auto"/>
        <w:bottom w:val="none" w:sz="0" w:space="0" w:color="auto"/>
        <w:right w:val="none" w:sz="0" w:space="0" w:color="auto"/>
      </w:divBdr>
      <w:divsChild>
        <w:div w:id="278882835">
          <w:marLeft w:val="-300"/>
          <w:marRight w:val="-300"/>
          <w:marTop w:val="0"/>
          <w:marBottom w:val="0"/>
          <w:divBdr>
            <w:top w:val="none" w:sz="0" w:space="0" w:color="auto"/>
            <w:left w:val="none" w:sz="0" w:space="0" w:color="auto"/>
            <w:bottom w:val="none" w:sz="0" w:space="0" w:color="auto"/>
            <w:right w:val="none" w:sz="0" w:space="0" w:color="auto"/>
          </w:divBdr>
          <w:divsChild>
            <w:div w:id="38387100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7</Pages>
  <Words>1773</Words>
  <Characters>10111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Александр Вайсов</cp:lastModifiedBy>
  <cp:revision>7</cp:revision>
  <dcterms:created xsi:type="dcterms:W3CDTF">2026-03-10T22:04:00Z</dcterms:created>
  <dcterms:modified xsi:type="dcterms:W3CDTF">2026-03-14T11:23:00Z</dcterms:modified>
</cp:coreProperties>
</file>