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E08CA" w14:textId="158B3DA9" w:rsidR="00452DD3" w:rsidRDefault="00000000">
      <w:pPr>
        <w:pStyle w:val="a6"/>
        <w:shd w:val="clear" w:color="auto" w:fill="FFFFFF"/>
        <w:jc w:val="both"/>
        <w:rPr>
          <w:rStyle w:val="a5"/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Style w:val="a5"/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УДК </w:t>
      </w:r>
      <w:r w:rsidR="004B7BE7" w:rsidRPr="004B7BE7">
        <w:rPr>
          <w:rFonts w:ascii="Times New Roman" w:eastAsia="Segoe UI" w:hAnsi="Times New Roman" w:cs="Times New Roman"/>
          <w:b/>
          <w:bCs/>
          <w:color w:val="0F1115"/>
          <w:sz w:val="28"/>
          <w:szCs w:val="28"/>
          <w:shd w:val="clear" w:color="auto" w:fill="FFFFFF"/>
        </w:rPr>
        <w:t>625.7/.8</w:t>
      </w:r>
    </w:p>
    <w:p w14:paraId="23D3DB3E" w14:textId="77777777" w:rsidR="00452DD3" w:rsidRDefault="00452DD3">
      <w:pPr>
        <w:pStyle w:val="a6"/>
        <w:shd w:val="clear" w:color="auto" w:fill="FFFFFF"/>
        <w:jc w:val="both"/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</w:pPr>
    </w:p>
    <w:p w14:paraId="118E934C" w14:textId="77777777" w:rsidR="00452DD3" w:rsidRDefault="00000000">
      <w:pPr>
        <w:pStyle w:val="a6"/>
        <w:shd w:val="clear" w:color="auto" w:fill="FFFFFF"/>
        <w:jc w:val="center"/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</w:pPr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 xml:space="preserve">К.Э. </w:t>
      </w:r>
      <w:proofErr w:type="spellStart"/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>Исламгалиев</w:t>
      </w:r>
      <w:proofErr w:type="spellEnd"/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 xml:space="preserve">, А.Н. </w:t>
      </w:r>
      <w:proofErr w:type="spellStart"/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>Кутлияров</w:t>
      </w:r>
      <w:proofErr w:type="spellEnd"/>
    </w:p>
    <w:p w14:paraId="25B596D0" w14:textId="77777777" w:rsidR="00452DD3" w:rsidRDefault="00452DD3">
      <w:pPr>
        <w:pStyle w:val="a6"/>
        <w:shd w:val="clear" w:color="auto" w:fill="FFFFFF"/>
        <w:jc w:val="center"/>
        <w:rPr>
          <w:rStyle w:val="a5"/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</w:p>
    <w:p w14:paraId="426778FD" w14:textId="77777777" w:rsidR="00452DD3" w:rsidRDefault="00000000">
      <w:pPr>
        <w:pStyle w:val="a6"/>
        <w:shd w:val="clear" w:color="auto" w:fill="FFFFFF"/>
        <w:jc w:val="center"/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</w:pPr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>ФГБОУ ВО Башкирский ГАУ, Уфа, Россия</w:t>
      </w:r>
    </w:p>
    <w:p w14:paraId="16994A12" w14:textId="77777777" w:rsidR="00452DD3" w:rsidRDefault="00452DD3">
      <w:pPr>
        <w:pStyle w:val="a6"/>
        <w:shd w:val="clear" w:color="auto" w:fill="FFFFFF"/>
        <w:jc w:val="both"/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</w:pPr>
    </w:p>
    <w:p w14:paraId="11BB44F2" w14:textId="77777777" w:rsidR="00452DD3" w:rsidRDefault="00000000">
      <w:pPr>
        <w:pStyle w:val="a6"/>
        <w:shd w:val="clear" w:color="auto" w:fill="FFFFFF"/>
        <w:jc w:val="center"/>
        <w:rPr>
          <w:rStyle w:val="a5"/>
          <w:rFonts w:ascii="Times New Roman" w:eastAsia="Segoe UI" w:hAnsi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Style w:val="a5"/>
          <w:rFonts w:ascii="Times New Roman" w:eastAsia="Segoe UI" w:hAnsi="Times New Roman"/>
          <w:color w:val="0F1115"/>
          <w:sz w:val="28"/>
          <w:szCs w:val="28"/>
          <w:shd w:val="clear" w:color="auto" w:fill="FFFFFF"/>
          <w:lang w:val="ru-RU"/>
        </w:rPr>
        <w:t xml:space="preserve">СИСТЕМНЫЕ ПРОБЛЕМЫ И КЛЮЧЕВЫЕ АСПЕКТЫ СТРОИТЕЛЬСТВА АВТОМОБИЛЬНЫХ ДОРОГ В РОССИЙСКОЙ ФЕДЕРАЦИИ </w:t>
      </w:r>
    </w:p>
    <w:p w14:paraId="5850B86D" w14:textId="77777777" w:rsidR="00452DD3" w:rsidRPr="00A430FE" w:rsidRDefault="00000000">
      <w:pPr>
        <w:pStyle w:val="a6"/>
        <w:shd w:val="clear" w:color="auto" w:fill="FFFFFF"/>
        <w:adjustRightInd w:val="0"/>
        <w:ind w:firstLine="510"/>
        <w:jc w:val="both"/>
        <w:rPr>
          <w:rFonts w:ascii="Times New Roman" w:eastAsia="Segoe UI" w:hAnsi="Times New Roman" w:cs="Times New Roman"/>
          <w:sz w:val="28"/>
          <w:szCs w:val="28"/>
          <w:lang w:val="ru-RU"/>
        </w:rPr>
      </w:pPr>
      <w:r w:rsidRPr="00A430FE"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 xml:space="preserve">Аннотация. </w:t>
      </w:r>
      <w:r w:rsidRPr="00A430FE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В статье представлен комплексный анализ современного состояния дорожно-строительной отрасли России. Рассмотрены основные аспекты, определяющие низкую долговечность автомобильных дорог: нормативно-правовой, технологический, климатический, организационно-управленческий и экономический. Выявлены причины сохранения «ремонтного» подхода вместо перехода к концепции жизненного цикла. Обоснована необходимость смены парадигмы проектирования, внедрения современных материалов и методов контроля качества. Особое внимание уделено учёту природно-климатических условий (сезонное промерзание, вечная мерзлота, переувлажнённые грунты) как специфическому российскому вызову.</w:t>
      </w:r>
    </w:p>
    <w:p w14:paraId="2BC01680" w14:textId="77777777" w:rsidR="00452DD3" w:rsidRPr="00A430FE" w:rsidRDefault="00000000">
      <w:pPr>
        <w:pStyle w:val="a6"/>
        <w:shd w:val="clear" w:color="auto" w:fill="FFFFFF"/>
        <w:adjustRightInd w:val="0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 w:rsidRPr="00A430FE"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 xml:space="preserve">Ключевые слова: </w:t>
      </w:r>
      <w:r w:rsidRPr="00A430FE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автомобильные дороги, дорожное строительство, нормативные сроки службы, геосинтетика, асфальтобетон, климатическая адаптация, контроль качества, стоимость жизненного цикла.</w:t>
      </w:r>
    </w:p>
    <w:p w14:paraId="032BEB5E" w14:textId="77777777" w:rsidR="00452DD3" w:rsidRPr="00A430FE" w:rsidRDefault="00000000">
      <w:pPr>
        <w:pStyle w:val="a6"/>
        <w:shd w:val="clear" w:color="auto" w:fill="FFFFFF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u w:val="single"/>
          <w:lang w:val="ru-RU"/>
        </w:rPr>
      </w:pPr>
      <w:r w:rsidRPr="00A430FE"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u w:val="single"/>
          <w:shd w:val="clear" w:color="auto" w:fill="FFFFFF"/>
          <w:lang w:val="ru-RU"/>
        </w:rPr>
        <w:t>Введение</w:t>
      </w:r>
    </w:p>
    <w:p w14:paraId="46F137D6" w14:textId="77777777" w:rsidR="00452DD3" w:rsidRPr="00A430FE" w:rsidRDefault="00000000">
      <w:pPr>
        <w:pStyle w:val="a6"/>
        <w:shd w:val="clear" w:color="auto" w:fill="FFFFFF"/>
        <w:ind w:firstLine="510"/>
        <w:jc w:val="both"/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</w:pPr>
      <w:r w:rsidRPr="00A430FE"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>Актуальность проблемы</w:t>
      </w:r>
    </w:p>
    <w:p w14:paraId="2EF7D98C" w14:textId="77777777" w:rsidR="00452DD3" w:rsidRPr="00A430FE" w:rsidRDefault="00000000">
      <w:pPr>
        <w:pStyle w:val="a6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 w:rsidRPr="00A430FE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Дорожное хозяйство Российской Федерации является одной из наиболее капиталоёмких и социально значимых отраслей. При протяжённости сети автомобильных дорог общего пользования более 1,5 млн км страна сталкивается с системным кризисом качества: до 45 % трасс требуют ремонта или реконструкции, а фактическая долговечность покрытий в 2–3 раза ниже нормативной [1]. При этом объёмы бюджетного финансирования остаются значительными, что свидетельствует не о недостатке средств, а о низкой эффективности их использования.</w:t>
      </w:r>
    </w:p>
    <w:p w14:paraId="7561A14E" w14:textId="77777777" w:rsidR="00452DD3" w:rsidRPr="00A430FE" w:rsidRDefault="00000000">
      <w:pPr>
        <w:pStyle w:val="a6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 w:rsidRPr="00A430FE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Парадокс отечественного дорожного строительства заключается в том, что при наличии мощной научной школы, развитой производственной базы и колоссального опыта работы в сложных грунтово-климатических условиях отрасль продолжает воспроизводить устаревшие технологические решения. В этих условиях актуальность исследования определяется необходимостью систематизации проблем не как разрозненных недостатков, а как взаимосвязанных аспектов единой системы.</w:t>
      </w:r>
    </w:p>
    <w:p w14:paraId="3D76182F" w14:textId="77777777" w:rsidR="00452DD3" w:rsidRPr="00A430FE" w:rsidRDefault="00000000">
      <w:pPr>
        <w:pStyle w:val="a6"/>
        <w:shd w:val="clear" w:color="auto" w:fill="FFFFFF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</w:pPr>
      <w:r w:rsidRPr="00A430FE"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u w:val="single"/>
          <w:shd w:val="clear" w:color="auto" w:fill="FFFFFF"/>
          <w:lang w:val="ru-RU"/>
        </w:rPr>
        <w:t>Цель:</w:t>
      </w:r>
      <w:r w:rsidRPr="00A430FE"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 xml:space="preserve"> </w:t>
      </w:r>
      <w:r w:rsidRPr="00A430FE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выявить и структурировать системные проблемы строительства автомобильных дорог в РФ по основным аспектам (нормативный, технологический, климатический, экономический, организационный) и определить направления их решения.</w:t>
      </w:r>
    </w:p>
    <w:p w14:paraId="768A9DCF" w14:textId="77777777" w:rsidR="00452DD3" w:rsidRPr="00A430FE" w:rsidRDefault="00000000">
      <w:pPr>
        <w:pStyle w:val="a6"/>
        <w:shd w:val="clear" w:color="auto" w:fill="FFFFFF"/>
        <w:ind w:firstLine="510"/>
        <w:jc w:val="both"/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u w:val="single"/>
          <w:shd w:val="clear" w:color="auto" w:fill="FFFFFF"/>
          <w:lang w:val="ru-RU"/>
        </w:rPr>
      </w:pPr>
      <w:r w:rsidRPr="00A430FE"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u w:val="single"/>
          <w:shd w:val="clear" w:color="auto" w:fill="FFFFFF"/>
          <w:lang w:val="ru-RU"/>
        </w:rPr>
        <w:t>Задачи:</w:t>
      </w:r>
    </w:p>
    <w:p w14:paraId="3ED50D21" w14:textId="77777777" w:rsidR="00452DD3" w:rsidRDefault="00000000">
      <w:pPr>
        <w:pStyle w:val="a6"/>
        <w:numPr>
          <w:ilvl w:val="0"/>
          <w:numId w:val="1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lastRenderedPageBreak/>
        <w:t>Провести анализ текущего состояния нормативно-технической базы дорожного строительства.</w:t>
      </w:r>
    </w:p>
    <w:p w14:paraId="0E657971" w14:textId="77777777" w:rsidR="00452DD3" w:rsidRDefault="00000000">
      <w:pPr>
        <w:pStyle w:val="a6"/>
        <w:numPr>
          <w:ilvl w:val="0"/>
          <w:numId w:val="1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Оценить уровень применяемых материалов и технологий.</w:t>
      </w:r>
    </w:p>
    <w:p w14:paraId="65F09E58" w14:textId="77777777" w:rsidR="00452DD3" w:rsidRDefault="00000000">
      <w:pPr>
        <w:pStyle w:val="a6"/>
        <w:numPr>
          <w:ilvl w:val="0"/>
          <w:numId w:val="1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Выявить влияние природно-климатических факторов на долговечность дорог.</w:t>
      </w:r>
    </w:p>
    <w:p w14:paraId="5AF77BF2" w14:textId="77777777" w:rsidR="00452DD3" w:rsidRDefault="00000000">
      <w:pPr>
        <w:pStyle w:val="a6"/>
        <w:numPr>
          <w:ilvl w:val="0"/>
          <w:numId w:val="1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Проанализировать экономические механизмы и их влияние на качество.</w:t>
      </w:r>
    </w:p>
    <w:p w14:paraId="635AD4EB" w14:textId="77777777" w:rsidR="00452DD3" w:rsidRDefault="00000000">
      <w:pPr>
        <w:pStyle w:val="a6"/>
        <w:numPr>
          <w:ilvl w:val="0"/>
          <w:numId w:val="1"/>
        </w:numPr>
        <w:jc w:val="both"/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Предложить пути преодоления выявленных проблем.</w:t>
      </w:r>
    </w:p>
    <w:p w14:paraId="2EA72BB1" w14:textId="77777777" w:rsidR="00452DD3" w:rsidRDefault="00000000">
      <w:pPr>
        <w:pStyle w:val="a6"/>
        <w:shd w:val="clear" w:color="auto" w:fill="FFFFFF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</w:pPr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>Методология и материалы исследования</w:t>
      </w:r>
    </w:p>
    <w:p w14:paraId="5E43E37D" w14:textId="77777777" w:rsidR="00452DD3" w:rsidRDefault="00000000">
      <w:pPr>
        <w:pStyle w:val="a6"/>
        <w:shd w:val="clear" w:color="auto" w:fill="FFFFFF"/>
        <w:ind w:firstLine="510"/>
        <w:jc w:val="both"/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</w:pPr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>Классификация совмещенных рисков</w:t>
      </w:r>
    </w:p>
    <w:p w14:paraId="6D7B2978" w14:textId="77777777" w:rsidR="00452DD3" w:rsidRDefault="00000000">
      <w:pPr>
        <w:pStyle w:val="a6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Исследование выполнено на основе анализа открытых источников: научных статей, технических регламентов (СП, ГОСТ, ОДМ), ведомственных отчётов Росавтодора, статистических данных. Использованы методы системного анализа, классификации, сравнительно-сопоставительного анализа (для оценки отставания от референтных стран), а также метод экспертных оценок.</w:t>
      </w:r>
    </w:p>
    <w:p w14:paraId="28F2D27D" w14:textId="77777777" w:rsidR="00452DD3" w:rsidRDefault="00000000">
      <w:pPr>
        <w:pStyle w:val="a6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В качестве референтных стран для сравнительного фона выбраны Германия, США, Канада и Китай как государства, имеющие сопоставимые климатические вызовы либо передовые технологические решения.</w:t>
      </w:r>
    </w:p>
    <w:p w14:paraId="0681BC7C" w14:textId="77777777" w:rsidR="00452DD3" w:rsidRDefault="00000000">
      <w:pPr>
        <w:pStyle w:val="a6"/>
        <w:shd w:val="clear" w:color="auto" w:fill="FFFFFF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Ключевые аспекты и системные проблемы дорожного строительства в РФ</w:t>
      </w:r>
    </w:p>
    <w:p w14:paraId="3A28A7EE" w14:textId="77777777" w:rsidR="00452DD3" w:rsidRDefault="00000000">
      <w:pPr>
        <w:pStyle w:val="a6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Действующая нормативная база дорожного строительства в России базируется на системе СНиП и СП, многие из которых разрабатывались в 1980–1990-х годах. Несмотря на периодическое обновление (СП 78.13330, СП 34.13330), сохраняется ряд фундаментальных проблем.</w:t>
      </w:r>
    </w:p>
    <w:p w14:paraId="44BF28DB" w14:textId="77777777" w:rsidR="00452DD3" w:rsidRDefault="00000000">
      <w:pPr>
        <w:pStyle w:val="a6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Во-первых, разрыв между нормативными и фактическими сроками службы. Согласно ОДМ 218.2.068-2017, межремонтные сроки для капитальных дорожных одежд составляют 12–24 года. Однако реальная эксплуатационная надёжность не превышает 7–10 лет для интенсивно нагруженных трасс [2]. Нормативы не учитывают фактический рост осевых нагрузок (до 11,5 т и выше), что ведёт к ускоренному разрушению.</w:t>
      </w:r>
    </w:p>
    <w:p w14:paraId="748F39C3" w14:textId="50939875" w:rsidR="00452DD3" w:rsidRDefault="00000000">
      <w:pPr>
        <w:pStyle w:val="a6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Во-вторых,</w:t>
      </w:r>
      <w:r w:rsidR="00BF4F10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консерватизм методов расчёта. Доминирование расчёта по упругому прогибу, ориентированного на ограничение остаточных деформаций, не позволяет достоверно прогнозировать усталостное трещинообразование и колейность. Методы механистически-эмпирического проектирования, стандартизированные за рубежом (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AASHTOWare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PerRoad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), в РФ находятся на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статии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экспериментальных разработок.</w:t>
      </w:r>
    </w:p>
    <w:p w14:paraId="35A7F6BC" w14:textId="77777777" w:rsidR="00452DD3" w:rsidRDefault="00000000">
      <w:pPr>
        <w:pStyle w:val="a6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В-третьих, фрагментарность внедрения новых стандартов. Внедрение ГОСТ Р 58401 (аналог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Superpave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) носит рекомендательный характер, отсутствует система принудительного перехода подрядчиков на объёмное проектирование смесей.</w:t>
      </w:r>
    </w:p>
    <w:p w14:paraId="07B15EBF" w14:textId="77777777" w:rsidR="00452DD3" w:rsidRDefault="00000000">
      <w:pPr>
        <w:pStyle w:val="a6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Таблица 1 – Сравнительный анализ методов проектирования асфальтобетонных смесей: ГОСТ 9128 (РФ) и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Superpave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(США / ГОСТ Р 58401)</w:t>
      </w:r>
    </w:p>
    <w:tbl>
      <w:tblPr>
        <w:tblStyle w:val="a7"/>
        <w:tblpPr w:leftFromText="180" w:rightFromText="180" w:vertAnchor="page" w:horzAnchor="margin" w:tblpY="1253"/>
        <w:tblW w:w="8931" w:type="dxa"/>
        <w:tblLayout w:type="fixed"/>
        <w:tblLook w:val="04A0" w:firstRow="1" w:lastRow="0" w:firstColumn="1" w:lastColumn="0" w:noHBand="0" w:noVBand="1"/>
      </w:tblPr>
      <w:tblGrid>
        <w:gridCol w:w="3252"/>
        <w:gridCol w:w="2660"/>
        <w:gridCol w:w="3019"/>
      </w:tblGrid>
      <w:tr w:rsidR="00ED5AEF" w:rsidRPr="00FC58A5" w14:paraId="08A6EB97" w14:textId="77777777" w:rsidTr="00252B5A">
        <w:trPr>
          <w:trHeight w:val="702"/>
        </w:trPr>
        <w:tc>
          <w:tcPr>
            <w:tcW w:w="3252" w:type="dxa"/>
            <w:shd w:val="clear" w:color="auto" w:fill="FFFFFF"/>
            <w:vAlign w:val="center"/>
          </w:tcPr>
          <w:p w14:paraId="027F4DA2" w14:textId="77777777"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proofErr w:type="spellStart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lastRenderedPageBreak/>
              <w:t>Критерий</w:t>
            </w:r>
            <w:proofErr w:type="spellEnd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сравнения</w:t>
            </w:r>
            <w:proofErr w:type="spellEnd"/>
          </w:p>
        </w:tc>
        <w:tc>
          <w:tcPr>
            <w:tcW w:w="2660" w:type="dxa"/>
            <w:shd w:val="clear" w:color="auto" w:fill="FFFFFF"/>
            <w:vAlign w:val="center"/>
          </w:tcPr>
          <w:p w14:paraId="68D1DF9E" w14:textId="77777777"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ГОСТ 9128-2013</w:t>
            </w: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(</w:t>
            </w:r>
            <w:proofErr w:type="spellStart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традиционный</w:t>
            </w:r>
            <w:proofErr w:type="spellEnd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метод</w:t>
            </w:r>
            <w:proofErr w:type="spellEnd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3019" w:type="dxa"/>
            <w:shd w:val="clear" w:color="auto" w:fill="FFFFFF"/>
            <w:vAlign w:val="center"/>
          </w:tcPr>
          <w:p w14:paraId="567CB134" w14:textId="77777777"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Superpave</w:t>
            </w: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 xml:space="preserve"> / ГОСТ Р 58401 (объемное проектирование)</w:t>
            </w:r>
          </w:p>
        </w:tc>
      </w:tr>
      <w:tr w:rsidR="00ED5AEF" w:rsidRPr="00FC58A5" w14:paraId="593CE91B" w14:textId="77777777" w:rsidTr="00252B5A">
        <w:trPr>
          <w:trHeight w:val="943"/>
        </w:trPr>
        <w:tc>
          <w:tcPr>
            <w:tcW w:w="3252" w:type="dxa"/>
            <w:shd w:val="clear" w:color="auto" w:fill="FFFFFF"/>
            <w:vAlign w:val="center"/>
          </w:tcPr>
          <w:p w14:paraId="06A8AF37" w14:textId="77777777"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 xml:space="preserve">2. </w:t>
            </w:r>
            <w:proofErr w:type="spellStart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Форма</w:t>
            </w:r>
            <w:proofErr w:type="spellEnd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образцов</w:t>
            </w:r>
            <w:proofErr w:type="spellEnd"/>
          </w:p>
        </w:tc>
        <w:tc>
          <w:tcPr>
            <w:tcW w:w="2660" w:type="dxa"/>
            <w:shd w:val="clear" w:color="auto" w:fill="FFFFFF"/>
            <w:vAlign w:val="center"/>
          </w:tcPr>
          <w:p w14:paraId="10567CAB" w14:textId="77777777"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>Цилиндр диаметром 101,6 мм (получаемый в форме под нагрузкой)</w:t>
            </w:r>
          </w:p>
        </w:tc>
        <w:tc>
          <w:tcPr>
            <w:tcW w:w="3019" w:type="dxa"/>
            <w:shd w:val="clear" w:color="auto" w:fill="FFFFFF"/>
            <w:vAlign w:val="center"/>
          </w:tcPr>
          <w:p w14:paraId="60F95BA0" w14:textId="77777777"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 xml:space="preserve">Цилиндр большего диаметра (150 мм), уплотняемый в гираторе; </w:t>
            </w:r>
          </w:p>
        </w:tc>
      </w:tr>
      <w:tr w:rsidR="00ED5AEF" w:rsidRPr="00ED5AEF" w14:paraId="1C3FF79C" w14:textId="77777777" w:rsidTr="00252B5A">
        <w:trPr>
          <w:trHeight w:val="772"/>
        </w:trPr>
        <w:tc>
          <w:tcPr>
            <w:tcW w:w="3252" w:type="dxa"/>
            <w:shd w:val="clear" w:color="auto" w:fill="FFFFFF"/>
            <w:vAlign w:val="center"/>
          </w:tcPr>
          <w:p w14:paraId="10C7A4CD" w14:textId="77777777"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>3. Учет температурных условий работы покрытия</w:t>
            </w:r>
          </w:p>
        </w:tc>
        <w:tc>
          <w:tcPr>
            <w:tcW w:w="2660" w:type="dxa"/>
            <w:shd w:val="clear" w:color="auto" w:fill="FFFFFF"/>
            <w:vAlign w:val="center"/>
          </w:tcPr>
          <w:p w14:paraId="560A06D7" w14:textId="77777777"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 xml:space="preserve">Отсутствует </w:t>
            </w:r>
          </w:p>
        </w:tc>
        <w:tc>
          <w:tcPr>
            <w:tcW w:w="3019" w:type="dxa"/>
            <w:shd w:val="clear" w:color="auto" w:fill="FFFFFF"/>
            <w:vAlign w:val="center"/>
          </w:tcPr>
          <w:p w14:paraId="59B5530D" w14:textId="77777777"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PG</w:t>
            </w: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>-классификация (</w:t>
            </w: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Performance</w:t>
            </w: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Grade</w:t>
            </w: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 xml:space="preserve">) </w:t>
            </w:r>
          </w:p>
        </w:tc>
      </w:tr>
      <w:tr w:rsidR="00ED5AEF" w:rsidRPr="00ED5AEF" w14:paraId="5CE04E43" w14:textId="77777777" w:rsidTr="00252B5A">
        <w:trPr>
          <w:trHeight w:val="971"/>
        </w:trPr>
        <w:tc>
          <w:tcPr>
            <w:tcW w:w="3252" w:type="dxa"/>
            <w:shd w:val="clear" w:color="auto" w:fill="FFFFFF"/>
            <w:vAlign w:val="center"/>
          </w:tcPr>
          <w:p w14:paraId="5D0AE600" w14:textId="77777777"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 xml:space="preserve">4. </w:t>
            </w:r>
            <w:proofErr w:type="spellStart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Критерии</w:t>
            </w:r>
            <w:proofErr w:type="spellEnd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подбора</w:t>
            </w:r>
            <w:proofErr w:type="spellEnd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состава</w:t>
            </w:r>
            <w:proofErr w:type="spellEnd"/>
          </w:p>
        </w:tc>
        <w:tc>
          <w:tcPr>
            <w:tcW w:w="2660" w:type="dxa"/>
            <w:shd w:val="clear" w:color="auto" w:fill="FFFFFF"/>
            <w:vAlign w:val="center"/>
          </w:tcPr>
          <w:p w14:paraId="06266F09" w14:textId="77777777"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 xml:space="preserve">По остаточной пористости </w:t>
            </w:r>
          </w:p>
        </w:tc>
        <w:tc>
          <w:tcPr>
            <w:tcW w:w="3019" w:type="dxa"/>
            <w:shd w:val="clear" w:color="auto" w:fill="FFFFFF"/>
            <w:vAlign w:val="center"/>
          </w:tcPr>
          <w:p w14:paraId="0B7E685E" w14:textId="77777777"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>По объемным свойствам</w:t>
            </w:r>
          </w:p>
          <w:p w14:paraId="0B768531" w14:textId="77777777"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</w:p>
        </w:tc>
      </w:tr>
      <w:tr w:rsidR="00ED5AEF" w:rsidRPr="00FC58A5" w14:paraId="3582E3A9" w14:textId="77777777" w:rsidTr="00252B5A">
        <w:trPr>
          <w:trHeight w:val="860"/>
        </w:trPr>
        <w:tc>
          <w:tcPr>
            <w:tcW w:w="3252" w:type="dxa"/>
            <w:shd w:val="clear" w:color="auto" w:fill="FFFFFF"/>
            <w:vAlign w:val="center"/>
          </w:tcPr>
          <w:p w14:paraId="242759A7" w14:textId="77777777"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 xml:space="preserve">5. </w:t>
            </w:r>
            <w:proofErr w:type="spellStart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Контроль</w:t>
            </w:r>
            <w:proofErr w:type="spellEnd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гранулометрии</w:t>
            </w:r>
            <w:proofErr w:type="spellEnd"/>
          </w:p>
        </w:tc>
        <w:tc>
          <w:tcPr>
            <w:tcW w:w="2660" w:type="dxa"/>
            <w:shd w:val="clear" w:color="auto" w:fill="FFFFFF"/>
            <w:vAlign w:val="center"/>
          </w:tcPr>
          <w:p w14:paraId="14A71212" w14:textId="77777777"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 xml:space="preserve">Допускаются проходы через «зоны запрета» </w:t>
            </w:r>
          </w:p>
        </w:tc>
        <w:tc>
          <w:tcPr>
            <w:tcW w:w="3019" w:type="dxa"/>
            <w:shd w:val="clear" w:color="auto" w:fill="FFFFFF"/>
            <w:vAlign w:val="center"/>
          </w:tcPr>
          <w:p w14:paraId="686CEB11" w14:textId="77777777"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>Строгое ограничение «запретной зоны» (</w:t>
            </w: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avoidance</w:t>
            </w: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zone</w:t>
            </w: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 xml:space="preserve">) </w:t>
            </w:r>
          </w:p>
        </w:tc>
      </w:tr>
      <w:tr w:rsidR="00ED5AEF" w:rsidRPr="00FC58A5" w14:paraId="06D998A1" w14:textId="77777777" w:rsidTr="00252B5A">
        <w:trPr>
          <w:trHeight w:val="312"/>
        </w:trPr>
        <w:tc>
          <w:tcPr>
            <w:tcW w:w="3252" w:type="dxa"/>
            <w:shd w:val="clear" w:color="auto" w:fill="FFFFFF"/>
            <w:vAlign w:val="center"/>
          </w:tcPr>
          <w:p w14:paraId="7964A73A" w14:textId="77777777"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 xml:space="preserve">6. </w:t>
            </w:r>
            <w:proofErr w:type="spellStart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Вид</w:t>
            </w:r>
            <w:proofErr w:type="spellEnd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испытаний</w:t>
            </w:r>
            <w:proofErr w:type="spellEnd"/>
          </w:p>
        </w:tc>
        <w:tc>
          <w:tcPr>
            <w:tcW w:w="2660" w:type="dxa"/>
            <w:shd w:val="clear" w:color="auto" w:fill="FFFFFF"/>
            <w:vAlign w:val="center"/>
          </w:tcPr>
          <w:p w14:paraId="25705E4C" w14:textId="77777777"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proofErr w:type="spellStart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Маршалл</w:t>
            </w:r>
            <w:proofErr w:type="spellEnd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3019" w:type="dxa"/>
            <w:shd w:val="clear" w:color="auto" w:fill="FFFFFF"/>
            <w:vAlign w:val="center"/>
          </w:tcPr>
          <w:p w14:paraId="62DE57C2" w14:textId="77777777"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>Объемный анализ, колейность (</w:t>
            </w: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HWTT</w:t>
            </w: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 xml:space="preserve">), </w:t>
            </w:r>
            <w:proofErr w:type="spellStart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>трещиностойкость</w:t>
            </w:r>
            <w:proofErr w:type="spellEnd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 xml:space="preserve"> (</w:t>
            </w: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SCB</w:t>
            </w: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>), чувствительность к влаге (</w:t>
            </w: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TSR</w:t>
            </w: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>)</w:t>
            </w:r>
          </w:p>
        </w:tc>
      </w:tr>
      <w:tr w:rsidR="00ED5AEF" w:rsidRPr="00FC58A5" w14:paraId="631FB510" w14:textId="77777777" w:rsidTr="00252B5A">
        <w:trPr>
          <w:trHeight w:val="38"/>
        </w:trPr>
        <w:tc>
          <w:tcPr>
            <w:tcW w:w="3252" w:type="dxa"/>
            <w:shd w:val="clear" w:color="auto" w:fill="FFFFFF"/>
            <w:vAlign w:val="center"/>
          </w:tcPr>
          <w:p w14:paraId="64C10239" w14:textId="77777777"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 xml:space="preserve">7. </w:t>
            </w:r>
            <w:proofErr w:type="spellStart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Учет</w:t>
            </w:r>
            <w:proofErr w:type="spellEnd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осевых</w:t>
            </w:r>
            <w:proofErr w:type="spellEnd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нагрузок</w:t>
            </w:r>
            <w:proofErr w:type="spellEnd"/>
          </w:p>
        </w:tc>
        <w:tc>
          <w:tcPr>
            <w:tcW w:w="2660" w:type="dxa"/>
            <w:shd w:val="clear" w:color="auto" w:fill="FFFFFF"/>
            <w:vAlign w:val="center"/>
          </w:tcPr>
          <w:p w14:paraId="5B7F2537" w14:textId="77777777"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proofErr w:type="spellStart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Косвенно</w:t>
            </w:r>
            <w:proofErr w:type="spellEnd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через</w:t>
            </w:r>
            <w:proofErr w:type="spellEnd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марку</w:t>
            </w:r>
            <w:proofErr w:type="spellEnd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асфальтобетона</w:t>
            </w:r>
            <w:proofErr w:type="spellEnd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3019" w:type="dxa"/>
            <w:shd w:val="clear" w:color="auto" w:fill="FFFFFF"/>
            <w:vAlign w:val="center"/>
          </w:tcPr>
          <w:p w14:paraId="37C38706" w14:textId="77777777"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 xml:space="preserve">Прямое назначение уровня нагружения </w:t>
            </w: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ESAL</w:t>
            </w:r>
          </w:p>
        </w:tc>
      </w:tr>
      <w:tr w:rsidR="00ED5AEF" w:rsidRPr="00FC58A5" w14:paraId="1D0191BE" w14:textId="77777777" w:rsidTr="00252B5A">
        <w:trPr>
          <w:trHeight w:val="489"/>
        </w:trPr>
        <w:tc>
          <w:tcPr>
            <w:tcW w:w="3252" w:type="dxa"/>
            <w:shd w:val="clear" w:color="auto" w:fill="FFFFFF"/>
            <w:vAlign w:val="center"/>
          </w:tcPr>
          <w:p w14:paraId="52721661" w14:textId="77777777"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 xml:space="preserve">8. </w:t>
            </w:r>
            <w:proofErr w:type="spellStart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>Адаптация</w:t>
            </w:r>
            <w:proofErr w:type="spellEnd"/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</w:rPr>
              <w:t xml:space="preserve"> к РФ</w:t>
            </w:r>
          </w:p>
        </w:tc>
        <w:tc>
          <w:tcPr>
            <w:tcW w:w="2660" w:type="dxa"/>
            <w:shd w:val="clear" w:color="auto" w:fill="FFFFFF"/>
            <w:vAlign w:val="center"/>
          </w:tcPr>
          <w:p w14:paraId="7DD172D5" w14:textId="77777777"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>Действует с 1980-х гг.</w:t>
            </w:r>
          </w:p>
        </w:tc>
        <w:tc>
          <w:tcPr>
            <w:tcW w:w="3019" w:type="dxa"/>
            <w:shd w:val="clear" w:color="auto" w:fill="FFFFFF"/>
            <w:vAlign w:val="center"/>
          </w:tcPr>
          <w:p w14:paraId="672F4F49" w14:textId="77777777" w:rsidR="00ED5AEF" w:rsidRPr="00ED5AEF" w:rsidRDefault="00ED5AEF" w:rsidP="00ED5AEF">
            <w:pPr>
              <w:pStyle w:val="a6"/>
              <w:ind w:firstLine="510"/>
              <w:jc w:val="both"/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</w:pPr>
            <w:r w:rsidRPr="00ED5AEF">
              <w:rPr>
                <w:rFonts w:ascii="Times New Roman" w:eastAsia="Segoe UI" w:hAnsi="Times New Roman" w:cs="Times New Roman"/>
                <w:color w:val="0F1115"/>
                <w:sz w:val="28"/>
                <w:szCs w:val="28"/>
                <w:shd w:val="clear" w:color="auto" w:fill="FFFFFF"/>
                <w:lang w:val="ru-RU"/>
              </w:rPr>
              <w:t>Введен в 2019 г. ГОСТ Р 58401</w:t>
            </w:r>
          </w:p>
        </w:tc>
      </w:tr>
    </w:tbl>
    <w:p w14:paraId="1AF0F963" w14:textId="77777777" w:rsidR="00ED5AEF" w:rsidRDefault="00ED5AEF">
      <w:pPr>
        <w:pStyle w:val="a6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</w:p>
    <w:p w14:paraId="0803851D" w14:textId="77777777" w:rsidR="00452DD3" w:rsidRDefault="00000000">
      <w:pPr>
        <w:pStyle w:val="a6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Асфальтобетон. Основной объём дорожных покрытий в РФ выполняется из плотных асфальтобетонных смесей по устаревшему ГОСТ 9128-2013. Ключевые недостатки:</w:t>
      </w:r>
    </w:p>
    <w:p w14:paraId="0A1658AB" w14:textId="77777777" w:rsidR="00452DD3" w:rsidRDefault="00000000">
      <w:pPr>
        <w:pStyle w:val="a6"/>
        <w:numPr>
          <w:ilvl w:val="0"/>
          <w:numId w:val="2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отсутствие требований к объёмному проектированию;</w:t>
      </w:r>
    </w:p>
    <w:p w14:paraId="16545544" w14:textId="77777777" w:rsidR="00452DD3" w:rsidRDefault="00000000">
      <w:pPr>
        <w:pStyle w:val="a6"/>
        <w:numPr>
          <w:ilvl w:val="0"/>
          <w:numId w:val="2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неконтролируемая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пустотность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;</w:t>
      </w:r>
    </w:p>
    <w:p w14:paraId="3C57CD92" w14:textId="77777777" w:rsidR="00452DD3" w:rsidRDefault="00000000">
      <w:pPr>
        <w:pStyle w:val="a6"/>
        <w:numPr>
          <w:ilvl w:val="0"/>
          <w:numId w:val="2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низкая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сдвигоустойчивость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при высоких летних температурах и хрупкость при низких.</w:t>
      </w:r>
    </w:p>
    <w:p w14:paraId="0F7638E7" w14:textId="7746359D" w:rsidR="00452DD3" w:rsidRDefault="00000000">
      <w:pPr>
        <w:pStyle w:val="a6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Переход на стандарты «Асфальтобетонные смеси по методологии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Superpave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» (ГОСТ Р 58401.1–58401.11) идёт крайне медленно. По данным Росавтодора, доля объектов, запроектированных по новым стандартам, не превышает 15–20 % [3].</w:t>
      </w:r>
    </w:p>
    <w:p w14:paraId="4571A7BF" w14:textId="77777777" w:rsidR="00452DD3" w:rsidRDefault="00000000">
      <w:pPr>
        <w:pStyle w:val="a6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Геосинтетика. Россия является одним из лидеров по объёму производства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геосинтетических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материалов, однако структура применения остаётся 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lastRenderedPageBreak/>
        <w:t>примитивной. Преобладают функции разделения и армирования слабых оснований. Крайне редко используются:</w:t>
      </w:r>
    </w:p>
    <w:p w14:paraId="343D1C36" w14:textId="77777777" w:rsidR="00452DD3" w:rsidRDefault="00000000">
      <w:pPr>
        <w:pStyle w:val="a6"/>
        <w:numPr>
          <w:ilvl w:val="0"/>
          <w:numId w:val="3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противотрещинные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прослойки (SAMI,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PaveTrac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);</w:t>
      </w:r>
    </w:p>
    <w:p w14:paraId="27700495" w14:textId="77777777" w:rsidR="00452DD3" w:rsidRDefault="00000000">
      <w:pPr>
        <w:pStyle w:val="a6"/>
        <w:numPr>
          <w:ilvl w:val="0"/>
          <w:numId w:val="3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дренажные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геокомпозиты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;</w:t>
      </w:r>
    </w:p>
    <w:p w14:paraId="0F6C8E1D" w14:textId="77777777" w:rsidR="00452DD3" w:rsidRDefault="00000000">
      <w:pPr>
        <w:pStyle w:val="a6"/>
        <w:numPr>
          <w:ilvl w:val="0"/>
          <w:numId w:val="3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геосинтетика для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микроармирования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асфальтобетонных слоёв.</w:t>
      </w:r>
    </w:p>
    <w:p w14:paraId="5294BB09" w14:textId="77777777" w:rsidR="00452DD3" w:rsidRDefault="00000000">
      <w:pPr>
        <w:pStyle w:val="a6"/>
        <w:ind w:left="720"/>
        <w:jc w:val="center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noProof/>
        </w:rPr>
        <w:drawing>
          <wp:inline distT="0" distB="0" distL="0" distR="0" wp14:anchorId="34F81022" wp14:editId="2B8FC437">
            <wp:extent cx="2809875" cy="1914525"/>
            <wp:effectExtent l="0" t="0" r="9525" b="0"/>
            <wp:docPr id="6600945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09452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21894" cy="1922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D83391" w14:textId="77777777" w:rsidR="00452DD3" w:rsidRDefault="00000000">
      <w:pPr>
        <w:pStyle w:val="a6"/>
        <w:ind w:left="72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Рисунок 1 — Конструкция дренажа с ровиком.</w:t>
      </w:r>
    </w:p>
    <w:p w14:paraId="373F1FB6" w14:textId="77777777" w:rsidR="00452DD3" w:rsidRDefault="00000000">
      <w:pPr>
        <w:pStyle w:val="a6"/>
        <w:ind w:left="720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f — дренажная труба, 2 — эона движения свободной воды. 3 — эона движения капиллярной воды. 4 — щебеночная (песчаная) подготовка под дренажную трубу</w:t>
      </w:r>
    </w:p>
    <w:p w14:paraId="0BB06163" w14:textId="77777777" w:rsidR="00452DD3" w:rsidRDefault="00000000">
      <w:pPr>
        <w:pStyle w:val="a6"/>
        <w:ind w:left="720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L — длина пути Фильтрации; Ь, — ширина ровика поверху. 6? — ширина ровика понизу. ft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vertAlign w:val="subscript"/>
          <w:lang w:val="ru-RU"/>
        </w:rPr>
        <w:t>0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 — уровень </w:t>
      </w:r>
      <w:proofErr w:type="gram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воды</w:t>
      </w:r>
      <w:proofErr w:type="gram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а трубе-дрене; — толщина слоя щебеночной подготовки под дренажную трубу;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ft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— глубина ровика от низа трубы-дрены,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ft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, — высота капиллярного поднятия воды в песчаном слое</w:t>
      </w:r>
    </w:p>
    <w:p w14:paraId="0894C565" w14:textId="77777777" w:rsidR="00452DD3" w:rsidRDefault="00452DD3">
      <w:pPr>
        <w:pStyle w:val="a6"/>
        <w:ind w:left="72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</w:p>
    <w:p w14:paraId="4E657088" w14:textId="77777777" w:rsidR="00452DD3" w:rsidRDefault="00000000">
      <w:pPr>
        <w:pStyle w:val="a6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Зарубежная практика (США, Германия, Франция) демонстрирует, что именно интеграция геосинтетики в конструкцию дорожной одежды как функционального, а не вспомогательного элемента позволяет увеличить межремонтные сроки в 1,5–2 раза [4].</w:t>
      </w:r>
    </w:p>
    <w:p w14:paraId="249AFE21" w14:textId="77777777" w:rsidR="00452DD3" w:rsidRDefault="00000000">
      <w:pPr>
        <w:pStyle w:val="a6"/>
        <w:ind w:firstLine="510"/>
        <w:jc w:val="both"/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Климатический аспект: игнорирование региональной специфики</w:t>
      </w:r>
    </w:p>
    <w:p w14:paraId="691400F7" w14:textId="259BE89A" w:rsidR="00452DD3" w:rsidRDefault="00000000">
      <w:pPr>
        <w:pStyle w:val="a6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Более 65 % территории РФ находится в зоне сезонного промерзания грунтов, около 20 % — в зоне вечной мерзлоты. При этом типовые проектные решения слабо дифференцированы по климатическим зонам</w:t>
      </w:r>
      <w:r w:rsidR="00FC58A5" w:rsidRPr="00FC58A5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(рис.1)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.</w:t>
      </w:r>
    </w:p>
    <w:p w14:paraId="3F7600C9" w14:textId="77777777" w:rsidR="00452DD3" w:rsidRDefault="00000000">
      <w:pPr>
        <w:pStyle w:val="a6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i/>
          <w:iCs/>
          <w:color w:val="0F1115"/>
          <w:sz w:val="28"/>
          <w:szCs w:val="28"/>
          <w:shd w:val="clear" w:color="auto" w:fill="FFFFFF"/>
          <w:lang w:val="ru-RU"/>
        </w:rPr>
        <w:t>Основные проблемы:</w:t>
      </w:r>
    </w:p>
    <w:p w14:paraId="2D08FEEE" w14:textId="77777777" w:rsidR="00452DD3" w:rsidRDefault="00000000">
      <w:pPr>
        <w:pStyle w:val="a6"/>
        <w:numPr>
          <w:ilvl w:val="0"/>
          <w:numId w:val="4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Отсутствие актуализированных карт глубины промерзания с учётом современных климатических изменений (используются данные 1960–1980 гг.).</w:t>
      </w:r>
    </w:p>
    <w:p w14:paraId="4D28B71E" w14:textId="77777777" w:rsidR="00452DD3" w:rsidRDefault="00000000">
      <w:pPr>
        <w:pStyle w:val="a6"/>
        <w:numPr>
          <w:ilvl w:val="0"/>
          <w:numId w:val="4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Недостаточное применение теплоизолирующих слоёв (XPS, пенополистирол,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геопена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) для борьбы с морозным пучением.</w:t>
      </w:r>
    </w:p>
    <w:p w14:paraId="2E05DEC1" w14:textId="77777777" w:rsidR="00452DD3" w:rsidRDefault="00000000">
      <w:pPr>
        <w:pStyle w:val="a6"/>
        <w:numPr>
          <w:ilvl w:val="0"/>
          <w:numId w:val="4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Практическое отсутствие методик расчёта дорожных одежд на вечномёрзлых грунтах по принципу сохранения мерзлоты (I принцип), хотя Канада и Китай имеют успешный опыт таких решений [5].</w:t>
      </w:r>
    </w:p>
    <w:p w14:paraId="323F5852" w14:textId="77777777" w:rsidR="00452DD3" w:rsidRDefault="00000000">
      <w:pPr>
        <w:pStyle w:val="a6"/>
        <w:numPr>
          <w:ilvl w:val="0"/>
          <w:numId w:val="4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Игнорирование специфики переувлажнённых грунтов лесной зоны: низкая несущая способность требует массового применения объёмной георешётки и нетканых материалов, однако это делается бессистемно.</w:t>
      </w:r>
    </w:p>
    <w:p w14:paraId="432C2332" w14:textId="77777777" w:rsidR="00452DD3" w:rsidRDefault="00000000">
      <w:pPr>
        <w:pStyle w:val="a6"/>
        <w:ind w:left="720"/>
        <w:jc w:val="center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noProof/>
        </w:rPr>
        <w:lastRenderedPageBreak/>
        <w:drawing>
          <wp:inline distT="0" distB="0" distL="0" distR="0" wp14:anchorId="45673FFB" wp14:editId="250E5D65">
            <wp:extent cx="2952750" cy="2506345"/>
            <wp:effectExtent l="0" t="0" r="0" b="8255"/>
            <wp:docPr id="116653117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6531177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8955" cy="251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4F141A" w14:textId="77777777" w:rsidR="00452DD3" w:rsidRDefault="00000000">
      <w:pPr>
        <w:pStyle w:val="a6"/>
        <w:ind w:left="72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Рисунок 2 - Карта изолиний средней глубины промерзания грунтов</w:t>
      </w:r>
    </w:p>
    <w:p w14:paraId="67C2E23D" w14:textId="77777777" w:rsidR="00452DD3" w:rsidRDefault="00000000">
      <w:pPr>
        <w:pStyle w:val="a6"/>
        <w:shd w:val="clear" w:color="auto" w:fill="FFFFFF"/>
        <w:ind w:firstLine="510"/>
        <w:jc w:val="both"/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Организационно-управленческий аспект: контроль качества и кадры</w:t>
      </w:r>
    </w:p>
    <w:p w14:paraId="3A6E323A" w14:textId="77777777" w:rsidR="00452DD3" w:rsidRDefault="00000000">
      <w:pPr>
        <w:pStyle w:val="a6"/>
        <w:ind w:firstLine="510"/>
        <w:jc w:val="both"/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В Российской Федерации исторически сложилась модель приёмочного контроля, при которой качество оценивается постфактум — после завершения строительства или этапа работ. Это порождает:</w:t>
      </w:r>
    </w:p>
    <w:p w14:paraId="30899C69" w14:textId="77777777" w:rsidR="00452DD3" w:rsidRDefault="00000000">
      <w:pPr>
        <w:pStyle w:val="a6"/>
        <w:numPr>
          <w:ilvl w:val="0"/>
          <w:numId w:val="5"/>
        </w:numPr>
        <w:jc w:val="both"/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невозможность оперативного исправления брака;</w:t>
      </w:r>
    </w:p>
    <w:p w14:paraId="2A422A9C" w14:textId="77777777" w:rsidR="00452DD3" w:rsidRDefault="00000000">
      <w:pPr>
        <w:pStyle w:val="a6"/>
        <w:numPr>
          <w:ilvl w:val="0"/>
          <w:numId w:val="5"/>
        </w:numPr>
        <w:jc w:val="both"/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формализм измерений;</w:t>
      </w:r>
    </w:p>
    <w:p w14:paraId="47695A91" w14:textId="77777777" w:rsidR="00452DD3" w:rsidRDefault="00000000">
      <w:pPr>
        <w:pStyle w:val="a6"/>
        <w:numPr>
          <w:ilvl w:val="0"/>
          <w:numId w:val="5"/>
        </w:numPr>
        <w:jc w:val="both"/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высокую коррупционную ёмкость процесса.</w:t>
      </w:r>
    </w:p>
    <w:p w14:paraId="490E504F" w14:textId="77777777" w:rsidR="00BF4F10" w:rsidRPr="00BF4F10" w:rsidRDefault="00BF4F10" w:rsidP="00BF4F10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F1115"/>
          <w:sz w:val="28"/>
          <w:szCs w:val="28"/>
          <w:lang w:val="ru-RU" w:eastAsia="ru-RU"/>
        </w:rPr>
      </w:pPr>
      <w:r w:rsidRPr="00BF4F10">
        <w:rPr>
          <w:rFonts w:ascii="Times New Roman" w:eastAsia="Times New Roman" w:hAnsi="Times New Roman" w:cs="Times New Roman"/>
          <w:color w:val="0F1115"/>
          <w:sz w:val="28"/>
          <w:szCs w:val="28"/>
          <w:lang w:val="ru-RU" w:eastAsia="ru-RU"/>
        </w:rPr>
        <w:t>Для регионов сезонного промерзания определяющим параметром является расчётная глубина промерзания 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val="ru-RU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ru-RU" w:eastAsia="ru-RU"/>
              </w:rPr>
              <m:t>z</m:t>
            </m:r>
          </m:e>
          <m:sub>
            <m:r>
              <m:rPr>
                <m:nor/>
              </m:r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m:t>пр</m:t>
            </m:r>
          </m:sub>
        </m:sSub>
      </m:oMath>
      <w:r w:rsidRPr="00BF4F10">
        <w:rPr>
          <w:rFonts w:ascii="Times New Roman" w:eastAsia="Times New Roman" w:hAnsi="Times New Roman" w:cs="Times New Roman"/>
          <w:color w:val="0F1115"/>
          <w:sz w:val="28"/>
          <w:szCs w:val="28"/>
          <w:lang w:val="ru-RU" w:eastAsia="ru-RU"/>
        </w:rPr>
        <w:t>. Согласно нормативной базе [6], она вычисляется по формуле:</w:t>
      </w:r>
    </w:p>
    <w:p w14:paraId="452BC2DC" w14:textId="3B826FA5" w:rsidR="00BF4F10" w:rsidRPr="00BF4F10" w:rsidRDefault="00000000" w:rsidP="00BF4F1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m:oMathPara>
        <m:oMath>
          <m:m>
            <m:mPr>
              <m:plcHide m:val="1"/>
              <m:mcs>
                <m:mc>
                  <m:mcPr>
                    <m:count m:val="4"/>
                    <m:mcJc m:val="center"/>
                  </m:mcPr>
                </m:mc>
              </m:mcs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ru-RU" w:eastAsia="ru-RU"/>
                </w:rPr>
              </m:ctrlPr>
            </m:mPr>
            <m:mr>
              <m:e/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ru-RU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ru-RU" w:eastAsia="ru-RU"/>
                      </w:rPr>
                      <m:t>z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  <w:lang w:val="ru-RU" w:eastAsia="ru-RU"/>
                      </w:rPr>
                      <m:t>пр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ru-RU" w:eastAsia="ru-RU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ru-RU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ru-RU" w:eastAsia="ru-RU"/>
                      </w:rPr>
                      <m:t>z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  <w:lang w:val="ru-RU" w:eastAsia="ru-RU"/>
                      </w:rPr>
                      <m:t>пр</m:t>
                    </m:r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ru-RU" w:eastAsia="ru-RU"/>
                      </w:rPr>
                      <m:t>,</m:t>
                    </m:r>
                    <m:r>
                      <m:rPr>
                        <m:nor/>
                      </m:rPr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  <w:lang w:val="ru-RU" w:eastAsia="ru-RU"/>
                      </w:rPr>
                      <m:t>н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ru-RU" w:eastAsia="ru-RU"/>
                  </w:rPr>
                  <m:t>⋅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ru-RU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ru-RU" w:eastAsia="ru-RU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  <w:lang w:val="ru-RU" w:eastAsia="ru-RU"/>
                      </w:rPr>
                      <m:t>т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ru-RU" w:eastAsia="ru-RU"/>
                  </w:rPr>
                  <m:t>⋅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ru-RU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ru-RU" w:eastAsia="ru-RU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  <w:lang w:val="ru-RU" w:eastAsia="ru-RU"/>
                      </w:rPr>
                      <m:t>вл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ru-RU" w:eastAsia="ru-RU"/>
                  </w:rPr>
                  <m:t>⋅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ru-RU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ru-RU" w:eastAsia="ru-RU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  <w:lang w:val="ru-RU" w:eastAsia="ru-RU"/>
                      </w:rPr>
                      <m:t>м</m:t>
                    </m:r>
                  </m:sub>
                </m:sSub>
              </m:e>
              <m:e/>
              <m:e>
                <m:r>
                  <m:rPr>
                    <m:nor/>
                  </m:rPr>
                  <w:rPr>
                    <w:rFonts w:ascii="Times New Roman" w:eastAsia="Times New Roman" w:hAnsi="Times New Roman" w:cs="Times New Roman"/>
                    <w:sz w:val="28"/>
                    <w:szCs w:val="28"/>
                    <w:lang w:val="ru-RU" w:eastAsia="ru-RU"/>
                  </w:rPr>
                  <m:t>(1)</m:t>
                </m:r>
              </m:e>
            </m:mr>
          </m:m>
        </m:oMath>
      </m:oMathPara>
    </w:p>
    <w:p w14:paraId="3ADF5BCC" w14:textId="77777777" w:rsidR="00BF4F10" w:rsidRPr="00BF4F10" w:rsidRDefault="00BF4F10" w:rsidP="00BF4F10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F1115"/>
          <w:sz w:val="28"/>
          <w:szCs w:val="28"/>
          <w:lang w:val="ru-RU" w:eastAsia="ru-RU"/>
        </w:rPr>
      </w:pPr>
      <w:r w:rsidRPr="00BF4F10">
        <w:rPr>
          <w:rFonts w:ascii="Times New Roman" w:eastAsia="Times New Roman" w:hAnsi="Times New Roman" w:cs="Times New Roman"/>
          <w:color w:val="0F1115"/>
          <w:sz w:val="28"/>
          <w:szCs w:val="28"/>
          <w:lang w:val="ru-RU" w:eastAsia="ru-RU"/>
        </w:rPr>
        <w:t>где:</w:t>
      </w:r>
    </w:p>
    <w:p w14:paraId="25D16DD6" w14:textId="77777777" w:rsidR="00BF4F10" w:rsidRPr="00BF4F10" w:rsidRDefault="00000000" w:rsidP="00BF4F10">
      <w:pPr>
        <w:numPr>
          <w:ilvl w:val="0"/>
          <w:numId w:val="9"/>
        </w:numPr>
        <w:shd w:val="clear" w:color="auto" w:fill="FFFFFF"/>
        <w:rPr>
          <w:rFonts w:ascii="Times New Roman" w:eastAsia="Times New Roman" w:hAnsi="Times New Roman" w:cs="Times New Roman"/>
          <w:color w:val="0F1115"/>
          <w:sz w:val="28"/>
          <w:szCs w:val="28"/>
          <w:lang w:val="ru-RU"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val="ru-RU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ru-RU" w:eastAsia="ru-RU"/>
              </w:rPr>
              <m:t>z</m:t>
            </m:r>
          </m:e>
          <m:sub>
            <m:r>
              <m:rPr>
                <m:nor/>
              </m:r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m:t>пр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ru-RU" w:eastAsia="ru-RU"/>
              </w:rPr>
              <m:t>,</m:t>
            </m:r>
            <m:r>
              <m:rPr>
                <m:nor/>
              </m:r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m:t>н</m:t>
            </m:r>
          </m:sub>
        </m:sSub>
      </m:oMath>
      <w:r w:rsidR="00BF4F10" w:rsidRPr="00BF4F10">
        <w:rPr>
          <w:rFonts w:ascii="Times New Roman" w:eastAsia="Times New Roman" w:hAnsi="Times New Roman" w:cs="Times New Roman"/>
          <w:color w:val="0F1115"/>
          <w:sz w:val="28"/>
          <w:szCs w:val="28"/>
          <w:lang w:val="ru-RU" w:eastAsia="ru-RU"/>
        </w:rPr>
        <w:t> – нормативная глубина промерзания для региона, м;</w:t>
      </w:r>
    </w:p>
    <w:p w14:paraId="6E6F8494" w14:textId="77777777" w:rsidR="00BF4F10" w:rsidRPr="00BF4F10" w:rsidRDefault="00000000" w:rsidP="00BF4F10">
      <w:pPr>
        <w:numPr>
          <w:ilvl w:val="0"/>
          <w:numId w:val="9"/>
        </w:numPr>
        <w:shd w:val="clear" w:color="auto" w:fill="FFFFFF"/>
        <w:rPr>
          <w:rFonts w:ascii="Times New Roman" w:eastAsia="Times New Roman" w:hAnsi="Times New Roman" w:cs="Times New Roman"/>
          <w:color w:val="0F1115"/>
          <w:sz w:val="28"/>
          <w:szCs w:val="28"/>
          <w:lang w:val="ru-RU"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val="ru-RU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ru-RU" w:eastAsia="ru-RU"/>
              </w:rPr>
              <m:t>k</m:t>
            </m:r>
          </m:e>
          <m:sub>
            <m:r>
              <m:rPr>
                <m:nor/>
              </m:r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m:t>т</m:t>
            </m:r>
          </m:sub>
        </m:sSub>
      </m:oMath>
      <w:r w:rsidR="00BF4F10" w:rsidRPr="00BF4F10">
        <w:rPr>
          <w:rFonts w:ascii="Times New Roman" w:eastAsia="Times New Roman" w:hAnsi="Times New Roman" w:cs="Times New Roman"/>
          <w:color w:val="0F1115"/>
          <w:sz w:val="28"/>
          <w:szCs w:val="28"/>
          <w:lang w:val="ru-RU" w:eastAsia="ru-RU"/>
        </w:rPr>
        <w:t> – коэффициент температурного режима;</w:t>
      </w:r>
    </w:p>
    <w:p w14:paraId="473E19CD" w14:textId="77777777" w:rsidR="00BF4F10" w:rsidRPr="00BF4F10" w:rsidRDefault="00000000" w:rsidP="00BF4F10">
      <w:pPr>
        <w:numPr>
          <w:ilvl w:val="0"/>
          <w:numId w:val="9"/>
        </w:numPr>
        <w:shd w:val="clear" w:color="auto" w:fill="FFFFFF"/>
        <w:rPr>
          <w:rFonts w:ascii="Times New Roman" w:eastAsia="Times New Roman" w:hAnsi="Times New Roman" w:cs="Times New Roman"/>
          <w:color w:val="0F1115"/>
          <w:sz w:val="28"/>
          <w:szCs w:val="28"/>
          <w:lang w:val="ru-RU"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val="ru-RU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ru-RU" w:eastAsia="ru-RU"/>
              </w:rPr>
              <m:t>k</m:t>
            </m:r>
          </m:e>
          <m:sub>
            <m:r>
              <m:rPr>
                <m:nor/>
              </m:r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m:t>вл</m:t>
            </m:r>
          </m:sub>
        </m:sSub>
      </m:oMath>
      <w:r w:rsidR="00BF4F10" w:rsidRPr="00BF4F10">
        <w:rPr>
          <w:rFonts w:ascii="Times New Roman" w:eastAsia="Times New Roman" w:hAnsi="Times New Roman" w:cs="Times New Roman"/>
          <w:color w:val="0F1115"/>
          <w:sz w:val="28"/>
          <w:szCs w:val="28"/>
          <w:lang w:val="ru-RU" w:eastAsia="ru-RU"/>
        </w:rPr>
        <w:t> – коэффициент увлажнения;</w:t>
      </w:r>
    </w:p>
    <w:p w14:paraId="1B3FCE57" w14:textId="7E4AF6ED" w:rsidR="00BF4F10" w:rsidRPr="00BF4F10" w:rsidRDefault="00000000" w:rsidP="00BF4F10">
      <w:pPr>
        <w:numPr>
          <w:ilvl w:val="0"/>
          <w:numId w:val="9"/>
        </w:numPr>
        <w:shd w:val="clear" w:color="auto" w:fill="FFFFFF"/>
        <w:rPr>
          <w:rFonts w:ascii="Times New Roman" w:eastAsia="Times New Roman" w:hAnsi="Times New Roman" w:cs="Times New Roman"/>
          <w:color w:val="0F1115"/>
          <w:sz w:val="28"/>
          <w:szCs w:val="28"/>
          <w:lang w:val="ru-RU"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val="ru-RU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ru-RU" w:eastAsia="ru-RU"/>
              </w:rPr>
              <m:t>k</m:t>
            </m:r>
          </m:e>
          <m:sub>
            <m:r>
              <m:rPr>
                <m:nor/>
              </m:r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m:t>м</m:t>
            </m:r>
          </m:sub>
        </m:sSub>
      </m:oMath>
      <w:r w:rsidR="00BF4F10" w:rsidRPr="00BF4F10">
        <w:rPr>
          <w:rFonts w:ascii="Times New Roman" w:eastAsia="Times New Roman" w:hAnsi="Times New Roman" w:cs="Times New Roman"/>
          <w:color w:val="0F1115"/>
          <w:sz w:val="28"/>
          <w:szCs w:val="28"/>
          <w:lang w:val="ru-RU" w:eastAsia="ru-RU"/>
        </w:rPr>
        <w:t> – коэффициент, учитывающий влияние дорожной одежды и теплоизоляции.</w:t>
      </w:r>
    </w:p>
    <w:p w14:paraId="2FC459D9" w14:textId="434614B6" w:rsidR="00452DD3" w:rsidRDefault="00000000">
      <w:pPr>
        <w:pStyle w:val="a6"/>
        <w:ind w:firstLine="510"/>
        <w:jc w:val="both"/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За рубежом (особенно в Германии и Японии) приоритет отдан операционному контролю в процессе укладки и входному контролю материалов. Методы неразрушающего контроля (георадар, лазерное сканирование, динамический плотномер) в РФ применяются ограниченно</w:t>
      </w:r>
      <w:r w:rsidR="00FC58A5"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(рис.2</w:t>
      </w:r>
      <w:r w:rsidR="00FC58A5" w:rsidRPr="00FC58A5"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)</w:t>
      </w: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, лаборатории не оснащены гираторами, анализаторами колеи, что делает невозможным проектирование смесей по современным стандартам.</w:t>
      </w:r>
    </w:p>
    <w:p w14:paraId="1AB7A643" w14:textId="77777777" w:rsidR="00452DD3" w:rsidRDefault="00000000">
      <w:pPr>
        <w:pStyle w:val="a6"/>
        <w:ind w:firstLine="510"/>
        <w:jc w:val="both"/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Отдельной проблемой является кадровый дефицит. Низкий уровень оплаты труда в отраслевых лабораториях и проектных организациях, отток квалифицированных специалистов в коммерческий сектор (нефтегаз, промышленное строительство) усугубляют технологическое отставание.</w:t>
      </w:r>
    </w:p>
    <w:p w14:paraId="1272164F" w14:textId="77777777" w:rsidR="00452DD3" w:rsidRDefault="00000000">
      <w:pPr>
        <w:pStyle w:val="a6"/>
        <w:shd w:val="clear" w:color="auto" w:fill="FFFFFF"/>
        <w:ind w:firstLine="510"/>
        <w:jc w:val="both"/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Экономический аспект: диктат первоначальной цены</w:t>
      </w:r>
    </w:p>
    <w:p w14:paraId="3DCE907E" w14:textId="77777777" w:rsidR="00452DD3" w:rsidRDefault="00000000">
      <w:pPr>
        <w:pStyle w:val="a6"/>
        <w:ind w:firstLine="510"/>
        <w:jc w:val="both"/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lastRenderedPageBreak/>
        <w:t>Ключевым тормозом модернизации дорожной отрасли остаётся критерий эффективности. При проведении государственных закупок побеждает предложение с минимальной ценой контракта (аукционный принцип). Это вынуждает подрядчиков:</w:t>
      </w:r>
    </w:p>
    <w:p w14:paraId="388A09AA" w14:textId="77777777" w:rsidR="00452DD3" w:rsidRDefault="00000000">
      <w:pPr>
        <w:pStyle w:val="a6"/>
        <w:numPr>
          <w:ilvl w:val="0"/>
          <w:numId w:val="6"/>
        </w:numPr>
        <w:jc w:val="both"/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использовать дешёвые, но менее долговечные материалы;</w:t>
      </w:r>
    </w:p>
    <w:p w14:paraId="22A19B12" w14:textId="77777777" w:rsidR="00452DD3" w:rsidRDefault="00000000">
      <w:pPr>
        <w:pStyle w:val="a6"/>
        <w:numPr>
          <w:ilvl w:val="0"/>
          <w:numId w:val="6"/>
        </w:numPr>
        <w:jc w:val="both"/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экономить на технологических операциях;</w:t>
      </w:r>
    </w:p>
    <w:p w14:paraId="2CC6D2FD" w14:textId="77777777" w:rsidR="00452DD3" w:rsidRDefault="00000000">
      <w:pPr>
        <w:pStyle w:val="a6"/>
        <w:numPr>
          <w:ilvl w:val="0"/>
          <w:numId w:val="6"/>
        </w:numPr>
        <w:jc w:val="both"/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занижать объёмы геосинтетики.</w:t>
      </w:r>
    </w:p>
    <w:p w14:paraId="6298F865" w14:textId="77777777" w:rsidR="00452DD3" w:rsidRDefault="00000000">
      <w:pPr>
        <w:pStyle w:val="a6"/>
        <w:ind w:firstLine="510"/>
        <w:jc w:val="both"/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 xml:space="preserve">Концепция LCCA (Life </w:t>
      </w:r>
      <w:proofErr w:type="spellStart"/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Cycle</w:t>
      </w:r>
      <w:proofErr w:type="spellEnd"/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 xml:space="preserve"> Cost Analysis) — анализ стоимости жизненного цикла — в РФ не является обязательной. Отсутствие экономических стимулов к повышению долговечности приводит к тому, что выгоднее построить дорогу с малым ресурсом и затем многократно её ремонтировать, чем изначально вложить средства в «вечное покрытие» [6].</w:t>
      </w:r>
    </w:p>
    <w:p w14:paraId="217E1548" w14:textId="77777777" w:rsidR="00452DD3" w:rsidRDefault="00000000">
      <w:pPr>
        <w:pStyle w:val="a6"/>
        <w:ind w:firstLine="510"/>
        <w:jc w:val="both"/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Segoe UI" w:hAnsi="Segoe UI" w:cs="Segoe UI"/>
          <w:bCs/>
          <w:color w:val="0F1115"/>
          <w:sz w:val="20"/>
          <w:szCs w:val="20"/>
          <w:shd w:val="clear" w:color="auto" w:fill="FFFFFF"/>
          <w:lang w:val="ru-RU"/>
        </w:rPr>
        <w:t xml:space="preserve"> </w:t>
      </w: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Направления решения проблем</w:t>
      </w:r>
    </w:p>
    <w:p w14:paraId="7D0335C8" w14:textId="77777777" w:rsidR="00452DD3" w:rsidRDefault="00000000">
      <w:pPr>
        <w:pStyle w:val="a6"/>
        <w:ind w:firstLine="510"/>
        <w:jc w:val="both"/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На основе проведённого анализа могут быть предложены следующие пути преодоления системных проблем:</w:t>
      </w:r>
    </w:p>
    <w:p w14:paraId="7F33368F" w14:textId="77777777" w:rsidR="00452DD3" w:rsidRDefault="00000000">
      <w:pPr>
        <w:pStyle w:val="a6"/>
        <w:ind w:left="720"/>
        <w:jc w:val="both"/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Нормативная модернизация:</w:t>
      </w:r>
    </w:p>
    <w:p w14:paraId="6AC1045B" w14:textId="72687786" w:rsidR="00452DD3" w:rsidRDefault="00000000">
      <w:pPr>
        <w:pStyle w:val="a6"/>
        <w:ind w:left="1080"/>
        <w:jc w:val="both"/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Придание стандартам ГОСТ Р 58401 (</w:t>
      </w:r>
      <w:proofErr w:type="spellStart"/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Superpave</w:t>
      </w:r>
      <w:proofErr w:type="spellEnd"/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) статуса обязательных для объектов с интенсивностью движения выше 3000 авт./</w:t>
      </w:r>
      <w:proofErr w:type="spellStart"/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сут</w:t>
      </w:r>
      <w:proofErr w:type="spellEnd"/>
      <w:r w:rsidR="00FC58A5" w:rsidRPr="00FC58A5"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(</w:t>
      </w:r>
      <w:r w:rsidR="00FC58A5"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табл</w:t>
      </w:r>
      <w:r w:rsidR="00FC58A5" w:rsidRPr="00FC58A5"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.</w:t>
      </w:r>
      <w:r w:rsidR="00FC58A5"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1)</w:t>
      </w: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.</w:t>
      </w:r>
    </w:p>
    <w:p w14:paraId="09D1135E" w14:textId="77777777" w:rsidR="00452DD3" w:rsidRDefault="00000000">
      <w:pPr>
        <w:pStyle w:val="a6"/>
        <w:numPr>
          <w:ilvl w:val="1"/>
          <w:numId w:val="7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Внедрение механистически-эмпирических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методов расчёта дорожных одежд (адаптация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AASHTOWare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Pavement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ME) в актуализированные СП.</w:t>
      </w:r>
    </w:p>
    <w:p w14:paraId="34E0BDBD" w14:textId="77777777" w:rsidR="00452DD3" w:rsidRDefault="00000000">
      <w:pPr>
        <w:pStyle w:val="a6"/>
        <w:ind w:left="72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Технологический прорыв:</w:t>
      </w:r>
    </w:p>
    <w:p w14:paraId="2CDBC52B" w14:textId="77777777" w:rsidR="00452DD3" w:rsidRDefault="00000000">
      <w:pPr>
        <w:pStyle w:val="a6"/>
        <w:numPr>
          <w:ilvl w:val="1"/>
          <w:numId w:val="7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Разработка типовых решений с применением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геокомпозитов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и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противотрещинных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прослоек при реконструкции дорог.</w:t>
      </w:r>
    </w:p>
    <w:p w14:paraId="0627BD5E" w14:textId="77777777" w:rsidR="00452DD3" w:rsidRDefault="00000000">
      <w:pPr>
        <w:pStyle w:val="a6"/>
        <w:numPr>
          <w:ilvl w:val="1"/>
          <w:numId w:val="7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Стимулирование производства модифицированных битумов (ПБВ) с улучшенными низкотемпературными свойствами.</w:t>
      </w:r>
    </w:p>
    <w:p w14:paraId="3D988236" w14:textId="77777777" w:rsidR="00452DD3" w:rsidRDefault="00000000">
      <w:pPr>
        <w:pStyle w:val="a6"/>
        <w:ind w:left="72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Климатически адаптированные решения:</w:t>
      </w:r>
    </w:p>
    <w:p w14:paraId="1EC81AE6" w14:textId="77777777" w:rsidR="00452DD3" w:rsidRDefault="00000000">
      <w:pPr>
        <w:pStyle w:val="a6"/>
        <w:numPr>
          <w:ilvl w:val="1"/>
          <w:numId w:val="7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Актуализация карт климатического районирования для дорожного строительства.</w:t>
      </w:r>
    </w:p>
    <w:p w14:paraId="7DBCB5C1" w14:textId="77777777" w:rsidR="00452DD3" w:rsidRDefault="00000000">
      <w:pPr>
        <w:pStyle w:val="a6"/>
        <w:numPr>
          <w:ilvl w:val="1"/>
          <w:numId w:val="7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Внедрение теплоизолирующих слоёв в регионах с высоким индексом морозного пучения.</w:t>
      </w:r>
    </w:p>
    <w:p w14:paraId="4B95A2E6" w14:textId="77777777" w:rsidR="00452DD3" w:rsidRDefault="00000000">
      <w:pPr>
        <w:pStyle w:val="a6"/>
        <w:ind w:left="72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Реформа контроля качества:</w:t>
      </w:r>
    </w:p>
    <w:p w14:paraId="46974013" w14:textId="77777777" w:rsidR="00452DD3" w:rsidRDefault="00000000">
      <w:pPr>
        <w:pStyle w:val="a6"/>
        <w:numPr>
          <w:ilvl w:val="1"/>
          <w:numId w:val="7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Смещение акцента на входной и операционный контроль.</w:t>
      </w:r>
    </w:p>
    <w:p w14:paraId="3381EFAC" w14:textId="77777777" w:rsidR="00452DD3" w:rsidRDefault="00000000">
      <w:pPr>
        <w:pStyle w:val="a6"/>
        <w:numPr>
          <w:ilvl w:val="1"/>
          <w:numId w:val="7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Оснащение дорожно-строительных лабораторий </w:t>
      </w:r>
      <w:proofErr w:type="spell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гирационными</w:t>
      </w:r>
      <w:proofErr w:type="spellEnd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уплотнителями и приборами для испытания на колейность.</w:t>
      </w:r>
    </w:p>
    <w:p w14:paraId="1AD45A00" w14:textId="77777777" w:rsidR="00452DD3" w:rsidRDefault="00000000">
      <w:pPr>
        <w:pStyle w:val="a6"/>
        <w:numPr>
          <w:ilvl w:val="1"/>
          <w:numId w:val="7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Широкое внедрение георадарного профилирования и лазерного сканирования.</w:t>
      </w:r>
    </w:p>
    <w:p w14:paraId="5F8D7489" w14:textId="77777777" w:rsidR="00452DD3" w:rsidRDefault="00000000">
      <w:pPr>
        <w:pStyle w:val="a6"/>
        <w:ind w:left="72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Экономическая реформа:</w:t>
      </w:r>
    </w:p>
    <w:p w14:paraId="50BC90FF" w14:textId="77777777" w:rsidR="00452DD3" w:rsidRDefault="00000000">
      <w:pPr>
        <w:pStyle w:val="a6"/>
        <w:numPr>
          <w:ilvl w:val="1"/>
          <w:numId w:val="7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Обязательное применение LCCA для объектов с ценой контракта выше 1 млрд руб.</w:t>
      </w:r>
    </w:p>
    <w:p w14:paraId="6D136FAF" w14:textId="77777777" w:rsidR="00452DD3" w:rsidRDefault="00000000">
      <w:pPr>
        <w:pStyle w:val="a6"/>
        <w:numPr>
          <w:ilvl w:val="1"/>
          <w:numId w:val="7"/>
        </w:numPr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Переход к контрактам жизненного цикла (КЖЦ), где подрядчик несёт ответственность за состояние дороги в течение 15–20 лет.</w:t>
      </w:r>
    </w:p>
    <w:p w14:paraId="1DB07FBE" w14:textId="77777777" w:rsidR="00452DD3" w:rsidRDefault="00000000">
      <w:pPr>
        <w:pStyle w:val="a6"/>
        <w:shd w:val="clear" w:color="auto" w:fill="FFFFFF"/>
        <w:ind w:firstLine="510"/>
        <w:jc w:val="both"/>
        <w:rPr>
          <w:rFonts w:ascii="Times New Roman" w:eastAsia="Segoe UI" w:hAnsi="Times New Roman" w:cs="Times New Roman"/>
          <w:color w:val="0F1115"/>
          <w:sz w:val="28"/>
          <w:szCs w:val="28"/>
          <w:u w:val="single"/>
          <w:shd w:val="clear" w:color="auto" w:fill="FFFFFF"/>
          <w:lang w:val="ru-RU"/>
        </w:rPr>
      </w:pPr>
      <w:r>
        <w:rPr>
          <w:rStyle w:val="a5"/>
          <w:rFonts w:ascii="Times New Roman" w:eastAsia="Segoe UI" w:hAnsi="Times New Roman" w:cs="Times New Roman"/>
          <w:color w:val="0F1115"/>
          <w:sz w:val="28"/>
          <w:szCs w:val="28"/>
          <w:u w:val="single"/>
          <w:shd w:val="clear" w:color="auto" w:fill="FFFFFF"/>
          <w:lang w:val="ru-RU"/>
        </w:rPr>
        <w:t>Выводы:</w:t>
      </w:r>
      <w:r>
        <w:rPr>
          <w:rFonts w:ascii="Times New Roman" w:eastAsia="Segoe UI" w:hAnsi="Times New Roman" w:cs="Times New Roman"/>
          <w:color w:val="0F1115"/>
          <w:sz w:val="28"/>
          <w:szCs w:val="28"/>
          <w:u w:val="single"/>
          <w:shd w:val="clear" w:color="auto" w:fill="FFFFFF"/>
          <w:lang w:val="ru-RU"/>
        </w:rPr>
        <w:t xml:space="preserve"> </w:t>
      </w:r>
    </w:p>
    <w:p w14:paraId="1721568C" w14:textId="77777777" w:rsidR="00452DD3" w:rsidRDefault="00000000">
      <w:pPr>
        <w:pStyle w:val="a6"/>
        <w:ind w:firstLine="51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Проведённое исследование позволяет утверждать, что проблемы строительства автомобильных дорог в России носят не единичный, а системный характер. Нормативная инерционность, технологическое отставание, игнорирование климатической специфики, неэффективная организация контроля и порочная экономическая модель минимизации первоначальных затрат образуют устойчивый комплекс, препятствующий созданию долговечных покрытий.</w:t>
      </w:r>
    </w:p>
    <w:p w14:paraId="7501E703" w14:textId="77777777" w:rsidR="00452DD3" w:rsidRDefault="00000000">
      <w:pPr>
        <w:pStyle w:val="a6"/>
        <w:ind w:firstLine="51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Преодоление кризиса возможно только при смене парадигмы: переходе от «ремонтной» модели к модели управления жизненным циклом. Адаптация лучших зарубежных практик (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Superpave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LCCA,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геокомпозиты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, операционный контроль) должна проводиться не фрагментарно, а в рамках единой государственной политики модернизации дорожной отрасли с обязательным учётом природно-климатического разнообразия РФ.</w:t>
      </w:r>
    </w:p>
    <w:p w14:paraId="65085A18" w14:textId="77777777" w:rsidR="00452DD3" w:rsidRDefault="00000000">
      <w:pPr>
        <w:rPr>
          <w:rStyle w:val="a5"/>
          <w:rFonts w:ascii="Times New Roman" w:eastAsia="Segoe UI" w:hAnsi="Times New Roman" w:cs="Times New Roman"/>
          <w:color w:val="0F1115"/>
          <w:sz w:val="28"/>
          <w:szCs w:val="28"/>
          <w:u w:val="single"/>
          <w:shd w:val="clear" w:color="auto" w:fill="FFFFFF"/>
          <w:lang w:val="ru-RU"/>
        </w:rPr>
      </w:pPr>
      <w:r>
        <w:rPr>
          <w:rStyle w:val="a5"/>
          <w:rFonts w:ascii="Times New Roman" w:eastAsia="Segoe UI" w:hAnsi="Times New Roman"/>
          <w:b w:val="0"/>
          <w:bCs w:val="0"/>
          <w:color w:val="0F1115"/>
          <w:sz w:val="28"/>
          <w:szCs w:val="28"/>
          <w:u w:val="single"/>
          <w:shd w:val="clear" w:color="auto" w:fill="FFFFFF"/>
          <w:lang w:val="ru-RU"/>
        </w:rPr>
        <w:br w:type="page"/>
      </w:r>
    </w:p>
    <w:p w14:paraId="0C753C3D" w14:textId="77777777" w:rsidR="00452DD3" w:rsidRDefault="00000000">
      <w:pPr>
        <w:pStyle w:val="3"/>
        <w:shd w:val="clear" w:color="auto" w:fill="FFFFFF"/>
        <w:spacing w:beforeAutospacing="0" w:afterAutospacing="0"/>
        <w:ind w:firstLine="510"/>
        <w:jc w:val="center"/>
        <w:rPr>
          <w:rStyle w:val="a5"/>
          <w:rFonts w:ascii="Times New Roman" w:eastAsia="Segoe UI" w:hAnsi="Times New Roman" w:hint="default"/>
          <w:b/>
          <w:bCs/>
          <w:color w:val="0F1115"/>
          <w:sz w:val="28"/>
          <w:szCs w:val="28"/>
          <w:u w:val="single"/>
          <w:shd w:val="clear" w:color="auto" w:fill="FFFFFF"/>
          <w:lang w:val="ru-RU"/>
        </w:rPr>
      </w:pPr>
      <w:r>
        <w:rPr>
          <w:rStyle w:val="a5"/>
          <w:rFonts w:ascii="Times New Roman" w:eastAsia="Segoe UI" w:hAnsi="Times New Roman" w:hint="default"/>
          <w:b/>
          <w:bCs/>
          <w:color w:val="0F1115"/>
          <w:sz w:val="28"/>
          <w:szCs w:val="28"/>
          <w:u w:val="single"/>
          <w:shd w:val="clear" w:color="auto" w:fill="FFFFFF"/>
          <w:lang w:val="ru-RU"/>
        </w:rPr>
        <w:lastRenderedPageBreak/>
        <w:t>Библиографический список</w:t>
      </w:r>
    </w:p>
    <w:p w14:paraId="0894AAC2" w14:textId="77777777" w:rsidR="00452DD3" w:rsidRDefault="00000000">
      <w:pPr>
        <w:numPr>
          <w:ilvl w:val="0"/>
          <w:numId w:val="8"/>
        </w:numPr>
        <w:ind w:firstLine="41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Носов С.В., Бондаренко А.А. Анализ современного состояния дорожного хозяйства России // Транспортное строительство. – 2023. – № 5. – С. 12–18.</w:t>
      </w:r>
    </w:p>
    <w:p w14:paraId="4A67899A" w14:textId="77777777" w:rsidR="00452DD3" w:rsidRDefault="00000000">
      <w:pPr>
        <w:numPr>
          <w:ilvl w:val="0"/>
          <w:numId w:val="8"/>
        </w:numPr>
        <w:ind w:firstLine="41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Сиденко В.М.,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Рокас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С.Ю. Фактические сроки службы дорожных одежд в РФ: статистический анализ // Наука и техника в дорожной отрасли. – 2022. – № 3. – С. 24–29.</w:t>
      </w:r>
    </w:p>
    <w:p w14:paraId="0116AA79" w14:textId="77777777" w:rsidR="00452DD3" w:rsidRDefault="00000000">
      <w:pPr>
        <w:numPr>
          <w:ilvl w:val="0"/>
          <w:numId w:val="8"/>
        </w:numPr>
        <w:ind w:firstLine="41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Отчёт о ходе внедрения стандартов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Superpave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 Российской Федерации / Росавтодор. – М., 2023. – 45 с.</w:t>
      </w:r>
    </w:p>
    <w:p w14:paraId="5D96890C" w14:textId="77777777" w:rsidR="00452DD3" w:rsidRDefault="00000000">
      <w:pPr>
        <w:numPr>
          <w:ilvl w:val="0"/>
          <w:numId w:val="8"/>
        </w:numPr>
        <w:ind w:firstLine="4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Koerner R.M. Designing with Geosynthetics. – 7th ed. – Xlibris, 2021. – 950 p.</w:t>
      </w:r>
    </w:p>
    <w:p w14:paraId="731467D3" w14:textId="77777777" w:rsidR="00452DD3" w:rsidRDefault="00000000">
      <w:pPr>
        <w:numPr>
          <w:ilvl w:val="0"/>
          <w:numId w:val="8"/>
        </w:numPr>
        <w:ind w:firstLine="4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Zhang H., Wang Y. Frost heave control in seasonal frost regions: case studies from China // Cold Regions Science and Technology. – 2021. – Vol. 191. – P. 103–115.</w:t>
      </w:r>
    </w:p>
    <w:p w14:paraId="70E0067B" w14:textId="77777777" w:rsidR="00452DD3" w:rsidRDefault="00000000">
      <w:pPr>
        <w:numPr>
          <w:ilvl w:val="0"/>
          <w:numId w:val="8"/>
        </w:numPr>
        <w:ind w:firstLine="41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СП 78.13330.2022 «Автомобильные дороги. Актуализированная редакция». – М., 2022.</w:t>
      </w:r>
    </w:p>
    <w:p w14:paraId="5D658E33" w14:textId="77777777" w:rsidR="00452DD3" w:rsidRDefault="00000000">
      <w:pPr>
        <w:pStyle w:val="a8"/>
        <w:numPr>
          <w:ilvl w:val="0"/>
          <w:numId w:val="8"/>
        </w:numPr>
        <w:spacing w:line="240" w:lineRule="auto"/>
        <w:ind w:firstLine="414"/>
        <w:rPr>
          <w:color w:val="000000" w:themeColor="text1"/>
        </w:rPr>
      </w:pPr>
      <w:proofErr w:type="spellStart"/>
      <w:r>
        <w:rPr>
          <w:color w:val="000000" w:themeColor="text1"/>
        </w:rPr>
        <w:t>Кутлияров</w:t>
      </w:r>
      <w:proofErr w:type="spellEnd"/>
      <w:r>
        <w:rPr>
          <w:color w:val="000000" w:themeColor="text1"/>
        </w:rPr>
        <w:t xml:space="preserve">, Д.Н. Оценка состояния и комплексное обустройство водосбора р. Таналык Республики Башкортостан / </w:t>
      </w:r>
      <w:proofErr w:type="spellStart"/>
      <w:r>
        <w:rPr>
          <w:color w:val="000000" w:themeColor="text1"/>
        </w:rPr>
        <w:t>Кутлияров</w:t>
      </w:r>
      <w:proofErr w:type="spellEnd"/>
      <w:r>
        <w:rPr>
          <w:color w:val="000000" w:themeColor="text1"/>
        </w:rPr>
        <w:t xml:space="preserve"> Д.Н. // диссертация на соискание ученой степени кандидата технических наук / Московский государственный университет природообустройства. Уфа, 2009</w:t>
      </w:r>
    </w:p>
    <w:p w14:paraId="1C0D1B90" w14:textId="77777777" w:rsidR="00452DD3" w:rsidRDefault="00000000">
      <w:pPr>
        <w:pStyle w:val="a8"/>
        <w:numPr>
          <w:ilvl w:val="0"/>
          <w:numId w:val="8"/>
        </w:numPr>
        <w:spacing w:line="240" w:lineRule="auto"/>
        <w:ind w:firstLine="414"/>
        <w:rPr>
          <w:color w:val="000000" w:themeColor="text1"/>
        </w:rPr>
      </w:pPr>
      <w:proofErr w:type="spellStart"/>
      <w:r>
        <w:rPr>
          <w:color w:val="000000" w:themeColor="text1"/>
        </w:rPr>
        <w:t>Кутлияров</w:t>
      </w:r>
      <w:proofErr w:type="spellEnd"/>
      <w:r>
        <w:rPr>
          <w:color w:val="000000" w:themeColor="text1"/>
        </w:rPr>
        <w:t xml:space="preserve">, Д.Н. Оценка состояния и комплексное обустройство водосбора р. Таналык Республики Башкортостан / </w:t>
      </w:r>
      <w:proofErr w:type="spellStart"/>
      <w:r>
        <w:rPr>
          <w:color w:val="000000" w:themeColor="text1"/>
        </w:rPr>
        <w:t>Кутлияров</w:t>
      </w:r>
      <w:proofErr w:type="spellEnd"/>
      <w:r>
        <w:rPr>
          <w:color w:val="000000" w:themeColor="text1"/>
        </w:rPr>
        <w:t xml:space="preserve"> Д.Н. // Автореферат диссертации на соискание ученой степени кандидата технических наук / Московский государственный университет природообустройства. Москва, 2009</w:t>
      </w:r>
    </w:p>
    <w:p w14:paraId="3DE71F68" w14:textId="77777777" w:rsidR="00452DD3" w:rsidRDefault="00000000">
      <w:pPr>
        <w:pStyle w:val="a8"/>
        <w:numPr>
          <w:ilvl w:val="0"/>
          <w:numId w:val="8"/>
        </w:numPr>
        <w:spacing w:line="240" w:lineRule="auto"/>
        <w:ind w:firstLine="414"/>
        <w:rPr>
          <w:color w:val="000000" w:themeColor="text1"/>
        </w:rPr>
      </w:pPr>
      <w:proofErr w:type="spellStart"/>
      <w:r>
        <w:rPr>
          <w:rFonts w:eastAsia="Times New Roman"/>
          <w:color w:val="000000" w:themeColor="text1"/>
          <w:szCs w:val="28"/>
          <w:lang w:eastAsia="ru-RU"/>
        </w:rPr>
        <w:t>Кутлияров</w:t>
      </w:r>
      <w:proofErr w:type="spellEnd"/>
      <w:r>
        <w:rPr>
          <w:rFonts w:eastAsia="Times New Roman"/>
          <w:color w:val="000000" w:themeColor="text1"/>
          <w:szCs w:val="28"/>
          <w:lang w:eastAsia="ru-RU"/>
        </w:rPr>
        <w:t xml:space="preserve">, Д.Н. </w:t>
      </w:r>
      <w:hyperlink r:id="rId7" w:history="1">
        <w:r w:rsidR="00452DD3">
          <w:rPr>
            <w:rStyle w:val="a4"/>
            <w:color w:val="000000" w:themeColor="text1"/>
            <w:szCs w:val="28"/>
            <w:lang w:eastAsia="ru-RU"/>
          </w:rPr>
          <w:t>Программа для расчёта фильтрационных параметров при построении депрессионных кривых в теле грунтовых плотин с дренажным устройством (с использованием MS VISUAL С++)</w:t>
        </w:r>
      </w:hyperlink>
      <w:r>
        <w:rPr>
          <w:rFonts w:eastAsia="Times New Roman"/>
          <w:color w:val="000000" w:themeColor="text1"/>
          <w:szCs w:val="28"/>
          <w:lang w:eastAsia="ru-RU"/>
        </w:rPr>
        <w:t xml:space="preserve"> / Д.Н. </w:t>
      </w:r>
      <w:proofErr w:type="spellStart"/>
      <w:r>
        <w:rPr>
          <w:rFonts w:eastAsia="Times New Roman"/>
          <w:color w:val="000000" w:themeColor="text1"/>
          <w:szCs w:val="28"/>
          <w:lang w:eastAsia="ru-RU"/>
        </w:rPr>
        <w:t>Кутлияров</w:t>
      </w:r>
      <w:proofErr w:type="spellEnd"/>
      <w:r>
        <w:rPr>
          <w:rFonts w:eastAsia="Times New Roman"/>
          <w:color w:val="000000" w:themeColor="text1"/>
          <w:szCs w:val="28"/>
          <w:lang w:eastAsia="ru-RU"/>
        </w:rPr>
        <w:t xml:space="preserve">, А.Н. </w:t>
      </w:r>
      <w:proofErr w:type="spellStart"/>
      <w:r>
        <w:rPr>
          <w:rFonts w:eastAsia="Times New Roman"/>
          <w:color w:val="000000" w:themeColor="text1"/>
          <w:szCs w:val="28"/>
          <w:lang w:eastAsia="ru-RU"/>
        </w:rPr>
        <w:t>Кутлияров</w:t>
      </w:r>
      <w:proofErr w:type="spellEnd"/>
      <w:r>
        <w:rPr>
          <w:rFonts w:eastAsia="Times New Roman"/>
          <w:color w:val="000000" w:themeColor="text1"/>
          <w:szCs w:val="28"/>
          <w:lang w:eastAsia="ru-RU"/>
        </w:rPr>
        <w:t xml:space="preserve">  // Свидетельство о регистрации программы для ЭВМ RU 2017617769, 12.07.2017. Заявка № 2017613438 от 17.04.2017.</w:t>
      </w:r>
    </w:p>
    <w:p w14:paraId="66ACA62E" w14:textId="77777777" w:rsidR="00452DD3" w:rsidRPr="00FC58A5" w:rsidRDefault="00000000">
      <w:pPr>
        <w:numPr>
          <w:ilvl w:val="0"/>
          <w:numId w:val="8"/>
        </w:numPr>
        <w:ind w:firstLine="41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Туганова, Л.Р. Актуальные проблемы земельного кадастра Туганова Л.Р.,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Кутлияров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Д.Н.,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Кутлияров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А.Н. В сборнике: Аграрная наука в условиях модернизации и инновационного развития АПК России. Сборник материалов Всероссийской научно-методической конференции с международным участием, посвященной 100-летию высшего аграрного образования в Ивановской области.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2018. С. 396-399.</w:t>
      </w:r>
    </w:p>
    <w:p w14:paraId="2FB56F87" w14:textId="0E3E51AE" w:rsidR="00FC58A5" w:rsidRPr="00FC58A5" w:rsidRDefault="00FC58A5" w:rsidP="00FC58A5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C58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C58A5">
        <w:rPr>
          <w:rFonts w:ascii="Times New Roman" w:hAnsi="Times New Roman" w:cs="Times New Roman"/>
          <w:sz w:val="28"/>
          <w:szCs w:val="28"/>
          <w:lang w:val="ru-RU"/>
        </w:rPr>
        <w:t>Kutliyarov</w:t>
      </w:r>
      <w:proofErr w:type="spellEnd"/>
      <w:r w:rsidRPr="00FC58A5">
        <w:rPr>
          <w:rFonts w:ascii="Times New Roman" w:hAnsi="Times New Roman" w:cs="Times New Roman"/>
          <w:sz w:val="28"/>
          <w:szCs w:val="28"/>
          <w:lang w:val="ru-RU"/>
        </w:rPr>
        <w:t xml:space="preserve">, D.N. Очистка нефтяных шламов / </w:t>
      </w:r>
      <w:proofErr w:type="spellStart"/>
      <w:r w:rsidRPr="00FC58A5">
        <w:rPr>
          <w:rFonts w:ascii="Times New Roman" w:hAnsi="Times New Roman" w:cs="Times New Roman"/>
          <w:sz w:val="28"/>
          <w:szCs w:val="28"/>
          <w:lang w:val="ru-RU"/>
        </w:rPr>
        <w:t>Kutliyarov</w:t>
      </w:r>
      <w:proofErr w:type="spellEnd"/>
      <w:r w:rsidRPr="00FC58A5">
        <w:rPr>
          <w:rFonts w:ascii="Times New Roman" w:hAnsi="Times New Roman" w:cs="Times New Roman"/>
          <w:sz w:val="28"/>
          <w:szCs w:val="28"/>
          <w:lang w:val="ru-RU"/>
        </w:rPr>
        <w:t xml:space="preserve"> D.N., </w:t>
      </w:r>
      <w:proofErr w:type="spellStart"/>
      <w:r w:rsidRPr="00FC58A5">
        <w:rPr>
          <w:rFonts w:ascii="Times New Roman" w:hAnsi="Times New Roman" w:cs="Times New Roman"/>
          <w:sz w:val="28"/>
          <w:szCs w:val="28"/>
          <w:lang w:val="ru-RU"/>
        </w:rPr>
        <w:t>Kutliyarov</w:t>
      </w:r>
      <w:proofErr w:type="spellEnd"/>
      <w:r w:rsidRPr="00FC58A5">
        <w:rPr>
          <w:rFonts w:ascii="Times New Roman" w:hAnsi="Times New Roman" w:cs="Times New Roman"/>
          <w:sz w:val="28"/>
          <w:szCs w:val="28"/>
          <w:lang w:val="ru-RU"/>
        </w:rPr>
        <w:t xml:space="preserve"> A.N. // Oil </w:t>
      </w:r>
      <w:proofErr w:type="spellStart"/>
      <w:r w:rsidRPr="00FC58A5">
        <w:rPr>
          <w:rFonts w:ascii="Times New Roman" w:hAnsi="Times New Roman" w:cs="Times New Roman"/>
          <w:sz w:val="28"/>
          <w:szCs w:val="28"/>
          <w:lang w:val="ru-RU"/>
        </w:rPr>
        <w:t>and</w:t>
      </w:r>
      <w:proofErr w:type="spellEnd"/>
      <w:r w:rsidRPr="00FC58A5">
        <w:rPr>
          <w:rFonts w:ascii="Times New Roman" w:hAnsi="Times New Roman" w:cs="Times New Roman"/>
          <w:sz w:val="28"/>
          <w:szCs w:val="28"/>
          <w:lang w:val="ru-RU"/>
        </w:rPr>
        <w:t xml:space="preserve"> Gas. 2016. № 6 (96). С. 93-98.</w:t>
      </w:r>
    </w:p>
    <w:p w14:paraId="59BA66F0" w14:textId="1F08C4AB" w:rsidR="00FC58A5" w:rsidRDefault="00FC58A5" w:rsidP="00FC58A5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C58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C58A5">
        <w:rPr>
          <w:rFonts w:ascii="Times New Roman" w:hAnsi="Times New Roman" w:cs="Times New Roman"/>
          <w:sz w:val="28"/>
          <w:szCs w:val="28"/>
          <w:lang w:val="ru-RU"/>
        </w:rPr>
        <w:t>Кутлияров</w:t>
      </w:r>
      <w:proofErr w:type="spellEnd"/>
      <w:r w:rsidRPr="00FC58A5">
        <w:rPr>
          <w:rFonts w:ascii="Times New Roman" w:hAnsi="Times New Roman" w:cs="Times New Roman"/>
          <w:sz w:val="28"/>
          <w:szCs w:val="28"/>
          <w:lang w:val="ru-RU"/>
        </w:rPr>
        <w:t xml:space="preserve">, А.Н. Земли в Республике Башкортостан: охрана и мониторинг / </w:t>
      </w:r>
      <w:proofErr w:type="spellStart"/>
      <w:r w:rsidRPr="00FC58A5">
        <w:rPr>
          <w:rFonts w:ascii="Times New Roman" w:hAnsi="Times New Roman" w:cs="Times New Roman"/>
          <w:sz w:val="28"/>
          <w:szCs w:val="28"/>
          <w:lang w:val="ru-RU"/>
        </w:rPr>
        <w:t>Кутлияров</w:t>
      </w:r>
      <w:proofErr w:type="spellEnd"/>
      <w:r w:rsidRPr="00FC58A5">
        <w:rPr>
          <w:rFonts w:ascii="Times New Roman" w:hAnsi="Times New Roman" w:cs="Times New Roman"/>
          <w:sz w:val="28"/>
          <w:szCs w:val="28"/>
          <w:lang w:val="ru-RU"/>
        </w:rPr>
        <w:t xml:space="preserve"> А.Н., </w:t>
      </w:r>
      <w:proofErr w:type="spellStart"/>
      <w:r w:rsidRPr="00FC58A5">
        <w:rPr>
          <w:rFonts w:ascii="Times New Roman" w:hAnsi="Times New Roman" w:cs="Times New Roman"/>
          <w:sz w:val="28"/>
          <w:szCs w:val="28"/>
          <w:lang w:val="ru-RU"/>
        </w:rPr>
        <w:t>Кутлияров</w:t>
      </w:r>
      <w:proofErr w:type="spellEnd"/>
      <w:r w:rsidRPr="00FC58A5">
        <w:rPr>
          <w:rFonts w:ascii="Times New Roman" w:hAnsi="Times New Roman" w:cs="Times New Roman"/>
          <w:sz w:val="28"/>
          <w:szCs w:val="28"/>
          <w:lang w:val="ru-RU"/>
        </w:rPr>
        <w:t xml:space="preserve"> Д.Н., Рамазанова Г.З. // В сборнике: Молодежная наука и АПК: проблемы и перспективы. Материалы VII Всероссийской научно-практической конференции молодых ученых. Башкирский государственный аграрный университет. 2014. С. 213-218.</w:t>
      </w:r>
    </w:p>
    <w:p w14:paraId="087024E8" w14:textId="77777777" w:rsidR="00452DD3" w:rsidRDefault="00452DD3">
      <w:pPr>
        <w:rPr>
          <w:lang w:val="ru-RU"/>
        </w:rPr>
      </w:pPr>
    </w:p>
    <w:p w14:paraId="514484DD" w14:textId="77777777" w:rsidR="00452DD3" w:rsidRDefault="00000000">
      <w:pPr>
        <w:ind w:firstLine="51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Сведения об авторах</w:t>
      </w:r>
    </w:p>
    <w:p w14:paraId="4CA9EF0C" w14:textId="77777777" w:rsidR="00452DD3" w:rsidRDefault="00000000">
      <w:pPr>
        <w:pStyle w:val="a6"/>
        <w:shd w:val="clear" w:color="auto" w:fill="FFFFFF"/>
        <w:ind w:firstLine="510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ru-RU"/>
        </w:rPr>
      </w:pPr>
      <w:proofErr w:type="spellStart"/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>Исламгалиев</w:t>
      </w:r>
      <w:proofErr w:type="spellEnd"/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 xml:space="preserve"> Камиль </w:t>
      </w:r>
      <w:proofErr w:type="spellStart"/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>Эльдарович</w:t>
      </w:r>
      <w:proofErr w:type="spellEnd"/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 xml:space="preserve"> – студент 4 курса направления подготовки 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ru-RU"/>
        </w:rPr>
        <w:t>Строительство</w:t>
      </w:r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 xml:space="preserve"> ФГБОУ ВО Башкирский ГАУ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ru-RU"/>
        </w:rPr>
        <w:t xml:space="preserve">, </w:t>
      </w:r>
      <w:hyperlink r:id="rId8" w:history="1">
        <w:r w:rsidR="00452DD3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Isk</w:t>
        </w:r>
        <w:r w:rsidR="00452DD3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ru-RU"/>
          </w:rPr>
          <w:t>-27@</w:t>
        </w:r>
        <w:r w:rsidR="00452DD3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mail</w:t>
        </w:r>
        <w:r w:rsidR="00452DD3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452DD3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ru</w:t>
        </w:r>
        <w:proofErr w:type="spellEnd"/>
      </w:hyperlink>
    </w:p>
    <w:p w14:paraId="2E447441" w14:textId="61DE89D6" w:rsidR="00452DD3" w:rsidRDefault="00000000">
      <w:pPr>
        <w:ind w:firstLine="510"/>
        <w:jc w:val="both"/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Кутлияров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Амир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Наилевич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–канд. экон. наук, доцент кафедры землеустройства </w:t>
      </w:r>
      <w:r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>ФГБОУ ВО Башкирский ГАУ,</w:t>
      </w:r>
      <w:r w:rsidR="00356C1C"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 xml:space="preserve"> </w:t>
      </w:r>
      <w:r w:rsidR="00356C1C"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</w:rPr>
        <w:t>K</w:t>
      </w:r>
      <w:r w:rsidR="00356C1C" w:rsidRPr="00356C1C">
        <w:rPr>
          <w:rStyle w:val="a5"/>
          <w:rFonts w:ascii="Times New Roman" w:eastAsia="Segoe UI" w:hAnsi="Times New Roman" w:cs="Times New Roman"/>
          <w:b w:val="0"/>
          <w:bCs w:val="0"/>
          <w:color w:val="0F1115"/>
          <w:sz w:val="28"/>
          <w:szCs w:val="28"/>
          <w:shd w:val="clear" w:color="auto" w:fill="FFFFFF"/>
          <w:lang w:val="ru-RU"/>
        </w:rPr>
        <w:t>utliarov-a@mail.ru</w:t>
      </w:r>
    </w:p>
    <w:p w14:paraId="132CB3BD" w14:textId="77777777" w:rsidR="00452DD3" w:rsidRDefault="00452DD3">
      <w:pPr>
        <w:ind w:firstLine="51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452DD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13578"/>
    <w:multiLevelType w:val="multilevel"/>
    <w:tmpl w:val="01E1357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0E0E6910"/>
    <w:multiLevelType w:val="multilevel"/>
    <w:tmpl w:val="0E0E691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574725"/>
    <w:multiLevelType w:val="multilevel"/>
    <w:tmpl w:val="2857472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1D05CD"/>
    <w:multiLevelType w:val="multilevel"/>
    <w:tmpl w:val="3F1D05C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1A0DC7"/>
    <w:multiLevelType w:val="multilevel"/>
    <w:tmpl w:val="431A0DC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4C1042E6"/>
    <w:multiLevelType w:val="multilevel"/>
    <w:tmpl w:val="4C1042E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C6D04E4"/>
    <w:multiLevelType w:val="multilevel"/>
    <w:tmpl w:val="5C6D04E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16D2FCF"/>
    <w:multiLevelType w:val="multilevel"/>
    <w:tmpl w:val="716D2FC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 w15:restartNumberingAfterBreak="0">
    <w:nsid w:val="7A7B1E22"/>
    <w:multiLevelType w:val="multilevel"/>
    <w:tmpl w:val="56C08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76911928">
    <w:abstractNumId w:val="7"/>
  </w:num>
  <w:num w:numId="2" w16cid:durableId="1124423286">
    <w:abstractNumId w:val="5"/>
  </w:num>
  <w:num w:numId="3" w16cid:durableId="1643660218">
    <w:abstractNumId w:val="6"/>
  </w:num>
  <w:num w:numId="4" w16cid:durableId="1494877442">
    <w:abstractNumId w:val="3"/>
  </w:num>
  <w:num w:numId="5" w16cid:durableId="818615066">
    <w:abstractNumId w:val="2"/>
  </w:num>
  <w:num w:numId="6" w16cid:durableId="678235876">
    <w:abstractNumId w:val="1"/>
  </w:num>
  <w:num w:numId="7" w16cid:durableId="1993637833">
    <w:abstractNumId w:val="0"/>
  </w:num>
  <w:num w:numId="8" w16cid:durableId="610237289">
    <w:abstractNumId w:val="4"/>
  </w:num>
  <w:num w:numId="9" w16cid:durableId="479999354">
    <w:abstractNumId w:val="8"/>
  </w:num>
  <w:num w:numId="10" w16cid:durableId="203098626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  <w:sz w:val="28"/>
          <w:szCs w:val="28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  <w:rPr>
          <w:rFonts w:hint="default"/>
        </w:rPr>
      </w:lvl>
    </w:lvlOverride>
  </w:num>
  <w:num w:numId="11" w16cid:durableId="237403027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  <w:sz w:val="28"/>
          <w:szCs w:val="28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A66"/>
    <w:rsid w:val="000065BD"/>
    <w:rsid w:val="000101DA"/>
    <w:rsid w:val="00027E87"/>
    <w:rsid w:val="000D259C"/>
    <w:rsid w:val="0012070F"/>
    <w:rsid w:val="00162DA5"/>
    <w:rsid w:val="0016363F"/>
    <w:rsid w:val="001B079C"/>
    <w:rsid w:val="001E2797"/>
    <w:rsid w:val="001F51F9"/>
    <w:rsid w:val="00226F07"/>
    <w:rsid w:val="002C7E93"/>
    <w:rsid w:val="002D7A80"/>
    <w:rsid w:val="00300B11"/>
    <w:rsid w:val="00303B77"/>
    <w:rsid w:val="00327406"/>
    <w:rsid w:val="00332BDF"/>
    <w:rsid w:val="00356C1C"/>
    <w:rsid w:val="003709D4"/>
    <w:rsid w:val="003A0B37"/>
    <w:rsid w:val="003A247B"/>
    <w:rsid w:val="00452DD3"/>
    <w:rsid w:val="004979FB"/>
    <w:rsid w:val="004B7BE7"/>
    <w:rsid w:val="004E78F8"/>
    <w:rsid w:val="005175A4"/>
    <w:rsid w:val="00525277"/>
    <w:rsid w:val="0053197B"/>
    <w:rsid w:val="00546B73"/>
    <w:rsid w:val="005B62C8"/>
    <w:rsid w:val="005D0114"/>
    <w:rsid w:val="005F335D"/>
    <w:rsid w:val="006223DA"/>
    <w:rsid w:val="00690D91"/>
    <w:rsid w:val="006B6AF2"/>
    <w:rsid w:val="00707FFC"/>
    <w:rsid w:val="00717BB7"/>
    <w:rsid w:val="00755194"/>
    <w:rsid w:val="00770514"/>
    <w:rsid w:val="00770D1D"/>
    <w:rsid w:val="007729E8"/>
    <w:rsid w:val="00797E2D"/>
    <w:rsid w:val="007B3568"/>
    <w:rsid w:val="007D4C8B"/>
    <w:rsid w:val="00841E8F"/>
    <w:rsid w:val="00854C1B"/>
    <w:rsid w:val="00886FB7"/>
    <w:rsid w:val="008D7A6F"/>
    <w:rsid w:val="00947C34"/>
    <w:rsid w:val="009B5C74"/>
    <w:rsid w:val="009E4634"/>
    <w:rsid w:val="009F08A3"/>
    <w:rsid w:val="00A04E50"/>
    <w:rsid w:val="00A22EE1"/>
    <w:rsid w:val="00A430FE"/>
    <w:rsid w:val="00A44A66"/>
    <w:rsid w:val="00A62249"/>
    <w:rsid w:val="00AB5F1C"/>
    <w:rsid w:val="00AF7EDD"/>
    <w:rsid w:val="00B47CA7"/>
    <w:rsid w:val="00B52478"/>
    <w:rsid w:val="00BE0020"/>
    <w:rsid w:val="00BF4F10"/>
    <w:rsid w:val="00C01CCC"/>
    <w:rsid w:val="00C13E75"/>
    <w:rsid w:val="00C56356"/>
    <w:rsid w:val="00C734DD"/>
    <w:rsid w:val="00CA175C"/>
    <w:rsid w:val="00CB58F8"/>
    <w:rsid w:val="00CD59BB"/>
    <w:rsid w:val="00CD74E4"/>
    <w:rsid w:val="00CE11C0"/>
    <w:rsid w:val="00CF55C5"/>
    <w:rsid w:val="00CF733A"/>
    <w:rsid w:val="00D67F06"/>
    <w:rsid w:val="00E05457"/>
    <w:rsid w:val="00E066F6"/>
    <w:rsid w:val="00ED5AEF"/>
    <w:rsid w:val="00F2285E"/>
    <w:rsid w:val="00F46A45"/>
    <w:rsid w:val="00F5161F"/>
    <w:rsid w:val="00F732F3"/>
    <w:rsid w:val="00F855E9"/>
    <w:rsid w:val="00FB0DE9"/>
    <w:rsid w:val="00FB36B9"/>
    <w:rsid w:val="00FC58A5"/>
    <w:rsid w:val="0431330F"/>
    <w:rsid w:val="0513556B"/>
    <w:rsid w:val="12253CA7"/>
    <w:rsid w:val="1BB278A8"/>
    <w:rsid w:val="1CCF168E"/>
    <w:rsid w:val="23043D89"/>
    <w:rsid w:val="253B1872"/>
    <w:rsid w:val="2AEB75CD"/>
    <w:rsid w:val="352B0451"/>
    <w:rsid w:val="3A1339E7"/>
    <w:rsid w:val="49140746"/>
    <w:rsid w:val="4EC506E0"/>
    <w:rsid w:val="51915D72"/>
    <w:rsid w:val="51A010A3"/>
    <w:rsid w:val="51FD7095"/>
    <w:rsid w:val="669F1439"/>
    <w:rsid w:val="683A480B"/>
    <w:rsid w:val="74BC5FE7"/>
    <w:rsid w:val="75D40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A1334"/>
  <w15:docId w15:val="{FD985379-5ACD-4B60-93C4-515A030E0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0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next w:val="a"/>
    <w:link w:val="30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6"/>
      <w:szCs w:val="26"/>
      <w:lang w:val="en-US" w:eastAsia="zh-CN"/>
    </w:rPr>
  </w:style>
  <w:style w:type="paragraph" w:styleId="4">
    <w:name w:val="heading 4"/>
    <w:next w:val="a"/>
    <w:link w:val="40"/>
    <w:semiHidden/>
    <w:unhideWhenUsed/>
    <w:qFormat/>
    <w:pPr>
      <w:spacing w:beforeAutospacing="1" w:afterAutospacing="1"/>
      <w:outlineLvl w:val="3"/>
    </w:pPr>
    <w:rPr>
      <w:rFonts w:ascii="SimSun" w:hAnsi="SimSun" w:hint="eastAsia"/>
      <w:b/>
      <w:bCs/>
      <w:sz w:val="24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HTML">
    <w:name w:val="HTML Code"/>
    <w:basedOn w:val="a0"/>
    <w:qFormat/>
    <w:rPr>
      <w:rFonts w:ascii="Courier New" w:hAnsi="Courier New" w:cs="Courier New"/>
      <w:sz w:val="20"/>
      <w:szCs w:val="20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Normal (Web)"/>
    <w:basedOn w:val="a"/>
    <w:uiPriority w:val="99"/>
    <w:qFormat/>
    <w:rPr>
      <w:sz w:val="24"/>
      <w:szCs w:val="24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semiHidden/>
    <w:qFormat/>
    <w:rPr>
      <w:rFonts w:ascii="SimSun" w:eastAsia="SimSun" w:hAnsi="SimSun" w:cs="Times New Roman"/>
      <w:b/>
      <w:bCs/>
      <w:sz w:val="26"/>
      <w:szCs w:val="26"/>
      <w:lang w:val="en-US" w:eastAsia="zh-CN"/>
    </w:rPr>
  </w:style>
  <w:style w:type="character" w:customStyle="1" w:styleId="40">
    <w:name w:val="Заголовок 4 Знак"/>
    <w:basedOn w:val="a0"/>
    <w:link w:val="4"/>
    <w:semiHidden/>
    <w:qFormat/>
    <w:rPr>
      <w:rFonts w:ascii="SimSun" w:eastAsia="SimSun" w:hAnsi="SimSun" w:cs="Times New Roman"/>
      <w:b/>
      <w:bCs/>
      <w:sz w:val="24"/>
      <w:szCs w:val="24"/>
      <w:lang w:val="en-US" w:eastAsia="zh-CN"/>
    </w:rPr>
  </w:style>
  <w:style w:type="paragraph" w:customStyle="1" w:styleId="ds-markdown-paragraph">
    <w:name w:val="ds-markdown-paragraph"/>
    <w:basedOn w:val="a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rPr>
      <w:color w:val="605E5C"/>
      <w:shd w:val="clear" w:color="auto" w:fill="E1DFDD"/>
    </w:rPr>
  </w:style>
  <w:style w:type="paragraph" w:styleId="a8">
    <w:name w:val="List Paragraph"/>
    <w:basedOn w:val="a"/>
    <w:uiPriority w:val="34"/>
    <w:qFormat/>
    <w:pPr>
      <w:spacing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szCs w:val="22"/>
      <w:lang w:val="ru-RU" w:eastAsia="en-US"/>
    </w:rPr>
  </w:style>
  <w:style w:type="character" w:customStyle="1" w:styleId="31">
    <w:name w:val="Неразрешенное упоминание3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sk-27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elibrary.ru/item.asp?id=393670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2265</Words>
  <Characters>12911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PIKIBULKI</dc:creator>
  <cp:lastModifiedBy>Kamil_Pyla Islamgaliev</cp:lastModifiedBy>
  <cp:revision>2</cp:revision>
  <dcterms:created xsi:type="dcterms:W3CDTF">2026-03-15T12:19:00Z</dcterms:created>
  <dcterms:modified xsi:type="dcterms:W3CDTF">2026-03-15T12:19:00Z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CE9022E25AAA4EEF88ABC59DA5DFDF7F_12</vt:lpwstr>
  </property>
</Properties>
</file>