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Rule="auto"/>
        <w:jc w:val="center"/>
        <w:rPr>
          <w:rFonts w:ascii="Times New Roman" w:cs="Times New Roman" w:eastAsia="Times New Roman" w:hAnsi="Times New Roman"/>
          <w:b w:val="1"/>
          <w:bCs w:val="1"/>
          <w:sz w:val="34"/>
          <w:szCs w:val="34"/>
        </w:rPr>
      </w:pPr>
      <w:bookmarkStart w:colFirst="0" w:colLast="0" w:name="_heading=h.lb3q51z5oa59" w:id="0"/>
      <w:bookmarkEnd w:id="0"/>
      <w:r w:rsidDel="00000000" w:rsidR="00000000" w:rsidRPr="00000000">
        <w:rPr>
          <w:rFonts w:ascii="Times New Roman" w:cs="Times New Roman" w:eastAsia="Times New Roman" w:hAnsi="Times New Roman"/>
          <w:b w:val="1"/>
          <w:bCs w:val="1"/>
          <w:sz w:val="34"/>
          <w:szCs w:val="34"/>
          <w:rtl w:val="0"/>
        </w:rPr>
        <w:t xml:space="preserve">Влияние нефтяного сектора на формирование регионального бюджета: авторский анализ на примере Сахалина и Владивостока</w:t>
      </w:r>
    </w:p>
    <w:p w:rsidR="00000000" w:rsidDel="00000000" w:rsidP="00000000" w:rsidRDefault="00000000" w:rsidRPr="00000000" w14:paraId="00000002">
      <w:pPr>
        <w:pStyle w:val="Heading2"/>
        <w:keepNext w:val="0"/>
        <w:keepLines w:val="0"/>
        <w:spacing w:after="80" w:lineRule="auto"/>
        <w:jc w:val="center"/>
        <w:rPr>
          <w:rFonts w:ascii="Times New Roman" w:cs="Times New Roman" w:eastAsia="Times New Roman" w:hAnsi="Times New Roman"/>
          <w:b w:val="1"/>
          <w:bCs w:val="1"/>
          <w:sz w:val="34"/>
          <w:szCs w:val="34"/>
        </w:rPr>
      </w:pPr>
      <w:bookmarkStart w:colFirst="0" w:colLast="0" w:name="_heading=h.j74ga5mdwv5" w:id="1"/>
      <w:bookmarkEnd w:id="1"/>
      <w:r w:rsidDel="00000000" w:rsidR="00000000" w:rsidRPr="00000000">
        <w:rPr>
          <w:rFonts w:ascii="Times New Roman" w:cs="Times New Roman" w:eastAsia="Times New Roman" w:hAnsi="Times New Roman"/>
          <w:b w:val="1"/>
          <w:bCs w:val="1"/>
          <w:sz w:val="34"/>
          <w:szCs w:val="34"/>
          <w:rtl w:val="0"/>
        </w:rPr>
        <w:t xml:space="preserve">The Impact of the Oil Sector on Regional Budget Formation: An Author's Analysis Using Sakhalin and Vladivostok as Examples</w:t>
      </w:r>
    </w:p>
    <w:p w:rsidR="00000000" w:rsidDel="00000000" w:rsidP="00000000" w:rsidRDefault="00000000" w:rsidRPr="00000000" w14:paraId="00000003">
      <w:pPr>
        <w:spacing w:line="288" w:lineRule="auto"/>
        <w:jc w:val="right"/>
        <w:rPr>
          <w:rFonts w:ascii="Times New Roman" w:cs="Times New Roman" w:eastAsia="Times New Roman" w:hAnsi="Times New Roman"/>
          <w:i w:val="1"/>
          <w:iCs w:val="1"/>
          <w:color w:val="0f1115"/>
          <w:sz w:val="26"/>
          <w:szCs w:val="26"/>
        </w:rPr>
      </w:pPr>
      <w:r w:rsidDel="00000000" w:rsidR="00000000" w:rsidRPr="00000000">
        <w:rPr>
          <w:rtl w:val="0"/>
        </w:rPr>
      </w:r>
    </w:p>
    <w:p w:rsidR="00000000" w:rsidDel="00000000" w:rsidP="00000000" w:rsidRDefault="00000000" w:rsidRPr="00000000" w14:paraId="00000004">
      <w:pPr>
        <w:spacing w:line="288" w:lineRule="auto"/>
        <w:jc w:val="right"/>
        <w:rPr>
          <w:rFonts w:ascii="Times New Roman" w:cs="Times New Roman" w:eastAsia="Times New Roman" w:hAnsi="Times New Roman"/>
          <w:b w:val="1"/>
          <w:bCs w:val="1"/>
          <w:i w:val="1"/>
          <w:iCs w:val="1"/>
          <w:color w:val="0f1115"/>
          <w:sz w:val="26"/>
          <w:szCs w:val="26"/>
        </w:rPr>
      </w:pPr>
      <w:r w:rsidDel="00000000" w:rsidR="00000000" w:rsidRPr="00000000">
        <w:rPr>
          <w:rFonts w:ascii="Times New Roman" w:cs="Times New Roman" w:eastAsia="Times New Roman" w:hAnsi="Times New Roman"/>
          <w:b w:val="1"/>
          <w:bCs w:val="1"/>
          <w:i w:val="1"/>
          <w:iCs w:val="1"/>
          <w:color w:val="0f1115"/>
          <w:sz w:val="26"/>
          <w:szCs w:val="26"/>
          <w:rtl w:val="0"/>
        </w:rPr>
        <w:t xml:space="preserve">Ким Ю Дин</w:t>
      </w:r>
    </w:p>
    <w:p w:rsidR="00000000" w:rsidDel="00000000" w:rsidP="00000000" w:rsidRDefault="00000000" w:rsidRPr="00000000" w14:paraId="00000005">
      <w:pPr>
        <w:spacing w:line="288" w:lineRule="auto"/>
        <w:jc w:val="right"/>
        <w:rPr>
          <w:rFonts w:ascii="Times New Roman" w:cs="Times New Roman" w:eastAsia="Times New Roman" w:hAnsi="Times New Roman"/>
          <w:i w:val="1"/>
          <w:iCs w:val="1"/>
          <w:color w:val="0f1115"/>
          <w:sz w:val="26"/>
          <w:szCs w:val="26"/>
        </w:rPr>
      </w:pPr>
      <w:r w:rsidDel="00000000" w:rsidR="00000000" w:rsidRPr="00000000">
        <w:rPr>
          <w:rFonts w:ascii="Times New Roman" w:cs="Times New Roman" w:eastAsia="Times New Roman" w:hAnsi="Times New Roman"/>
          <w:i w:val="1"/>
          <w:iCs w:val="1"/>
          <w:color w:val="0f1115"/>
          <w:sz w:val="26"/>
          <w:szCs w:val="26"/>
          <w:rtl w:val="0"/>
        </w:rPr>
        <w:t xml:space="preserve">студент 1 курса, специальность «Судебная и прокурорская деятельность»</w:t>
        <w:br w:type="textWrapping"/>
        <w:t xml:space="preserve">Дальневосточный юридический институт (филиал) Университет Прокуратуры </w:t>
      </w:r>
    </w:p>
    <w:p w:rsidR="00000000" w:rsidDel="00000000" w:rsidP="00000000" w:rsidRDefault="00000000" w:rsidRPr="00000000" w14:paraId="00000006">
      <w:pPr>
        <w:spacing w:line="288" w:lineRule="auto"/>
        <w:jc w:val="right"/>
        <w:rPr>
          <w:rFonts w:ascii="Times New Roman" w:cs="Times New Roman" w:eastAsia="Times New Roman" w:hAnsi="Times New Roman"/>
          <w:i w:val="1"/>
          <w:iCs w:val="1"/>
          <w:color w:val="0f1115"/>
          <w:sz w:val="26"/>
          <w:szCs w:val="26"/>
        </w:rPr>
      </w:pPr>
      <w:r w:rsidDel="00000000" w:rsidR="00000000" w:rsidRPr="00000000">
        <w:rPr>
          <w:rFonts w:ascii="Times New Roman" w:cs="Times New Roman" w:eastAsia="Times New Roman" w:hAnsi="Times New Roman"/>
          <w:i w:val="1"/>
          <w:iCs w:val="1"/>
          <w:color w:val="0f1115"/>
          <w:sz w:val="26"/>
          <w:szCs w:val="26"/>
          <w:rtl w:val="0"/>
        </w:rPr>
        <w:t xml:space="preserve">Россия, г. Владивосток</w:t>
        <w:br w:type="textWrapping"/>
        <w:t xml:space="preserve">E-mail: </w:t>
      </w:r>
      <w:hyperlink r:id="rId7">
        <w:r w:rsidDel="00000000" w:rsidR="00000000" w:rsidRPr="00000000">
          <w:rPr>
            <w:rFonts w:ascii="Times New Roman" w:cs="Times New Roman" w:eastAsia="Times New Roman" w:hAnsi="Times New Roman"/>
            <w:i w:val="1"/>
            <w:iCs w:val="1"/>
            <w:color w:val="1155cc"/>
            <w:sz w:val="26"/>
            <w:szCs w:val="26"/>
            <w:u w:val="single"/>
            <w:rtl w:val="0"/>
          </w:rPr>
          <w:t xml:space="preserve">ydina2007@mail.ru</w:t>
        </w:r>
      </w:hyperlink>
      <w:r w:rsidDel="00000000" w:rsidR="00000000" w:rsidRPr="00000000">
        <w:rPr>
          <w:rtl w:val="0"/>
        </w:rPr>
      </w:r>
    </w:p>
    <w:p w:rsidR="00000000" w:rsidDel="00000000" w:rsidP="00000000" w:rsidRDefault="00000000" w:rsidRPr="00000000" w14:paraId="00000007">
      <w:pPr>
        <w:spacing w:line="288" w:lineRule="auto"/>
        <w:jc w:val="right"/>
        <w:rPr>
          <w:rFonts w:ascii="Times New Roman" w:cs="Times New Roman" w:eastAsia="Times New Roman" w:hAnsi="Times New Roman"/>
          <w:i w:val="1"/>
          <w:iCs w:val="1"/>
          <w:color w:val="0f1115"/>
          <w:sz w:val="26"/>
          <w:szCs w:val="26"/>
        </w:rPr>
      </w:pPr>
      <w:r w:rsidDel="00000000" w:rsidR="00000000" w:rsidRPr="00000000">
        <w:rPr>
          <w:rFonts w:ascii="Times New Roman" w:cs="Times New Roman" w:eastAsia="Times New Roman" w:hAnsi="Times New Roman"/>
          <w:i w:val="1"/>
          <w:iCs w:val="1"/>
          <w:color w:val="0f1115"/>
          <w:sz w:val="26"/>
          <w:szCs w:val="26"/>
          <w:rtl w:val="0"/>
        </w:rPr>
        <w:t xml:space="preserve">Kim Yu Din</w:t>
      </w:r>
    </w:p>
    <w:p w:rsidR="00000000" w:rsidDel="00000000" w:rsidP="00000000" w:rsidRDefault="00000000" w:rsidRPr="00000000" w14:paraId="00000008">
      <w:pPr>
        <w:spacing w:line="288" w:lineRule="auto"/>
        <w:jc w:val="right"/>
        <w:rPr>
          <w:rFonts w:ascii="Times New Roman" w:cs="Times New Roman" w:eastAsia="Times New Roman" w:hAnsi="Times New Roman"/>
          <w:i w:val="1"/>
          <w:iCs w:val="1"/>
          <w:color w:val="0f1115"/>
          <w:sz w:val="26"/>
          <w:szCs w:val="26"/>
        </w:rPr>
      </w:pPr>
      <w:r w:rsidDel="00000000" w:rsidR="00000000" w:rsidRPr="00000000">
        <w:rPr>
          <w:rFonts w:ascii="Times New Roman" w:cs="Times New Roman" w:eastAsia="Times New Roman" w:hAnsi="Times New Roman"/>
          <w:i w:val="1"/>
          <w:iCs w:val="1"/>
          <w:color w:val="0f1115"/>
          <w:sz w:val="26"/>
          <w:szCs w:val="26"/>
          <w:rtl w:val="0"/>
        </w:rPr>
        <w:t xml:space="preserve">First-year student, majoring in "Judicial and Prosecutor's Activity"</w:t>
      </w:r>
    </w:p>
    <w:p w:rsidR="00000000" w:rsidDel="00000000" w:rsidP="00000000" w:rsidRDefault="00000000" w:rsidRPr="00000000" w14:paraId="00000009">
      <w:pPr>
        <w:spacing w:line="288" w:lineRule="auto"/>
        <w:jc w:val="right"/>
        <w:rPr>
          <w:rFonts w:ascii="Times New Roman" w:cs="Times New Roman" w:eastAsia="Times New Roman" w:hAnsi="Times New Roman"/>
          <w:i w:val="1"/>
          <w:iCs w:val="1"/>
          <w:color w:val="0f1115"/>
          <w:sz w:val="26"/>
          <w:szCs w:val="26"/>
        </w:rPr>
      </w:pPr>
      <w:r w:rsidDel="00000000" w:rsidR="00000000" w:rsidRPr="00000000">
        <w:rPr>
          <w:rFonts w:ascii="Times New Roman" w:cs="Times New Roman" w:eastAsia="Times New Roman" w:hAnsi="Times New Roman"/>
          <w:i w:val="1"/>
          <w:iCs w:val="1"/>
          <w:color w:val="0f1115"/>
          <w:sz w:val="26"/>
          <w:szCs w:val="26"/>
          <w:rtl w:val="0"/>
        </w:rPr>
        <w:t xml:space="preserve">Far Eastern Law Institute (branch) of the University of the Prosecutor's Office</w:t>
      </w:r>
    </w:p>
    <w:p w:rsidR="00000000" w:rsidDel="00000000" w:rsidP="00000000" w:rsidRDefault="00000000" w:rsidRPr="00000000" w14:paraId="0000000A">
      <w:pPr>
        <w:spacing w:line="288" w:lineRule="auto"/>
        <w:jc w:val="right"/>
        <w:rPr>
          <w:rFonts w:ascii="Times New Roman" w:cs="Times New Roman" w:eastAsia="Times New Roman" w:hAnsi="Times New Roman"/>
          <w:i w:val="1"/>
          <w:iCs w:val="1"/>
          <w:color w:val="0f1115"/>
          <w:sz w:val="26"/>
          <w:szCs w:val="26"/>
        </w:rPr>
      </w:pPr>
      <w:r w:rsidDel="00000000" w:rsidR="00000000" w:rsidRPr="00000000">
        <w:rPr>
          <w:rFonts w:ascii="Times New Roman" w:cs="Times New Roman" w:eastAsia="Times New Roman" w:hAnsi="Times New Roman"/>
          <w:i w:val="1"/>
          <w:iCs w:val="1"/>
          <w:color w:val="0f1115"/>
          <w:sz w:val="26"/>
          <w:szCs w:val="26"/>
          <w:rtl w:val="0"/>
        </w:rPr>
        <w:t xml:space="preserve">Russia, Vladivostok</w:t>
      </w:r>
    </w:p>
    <w:p w:rsidR="00000000" w:rsidDel="00000000" w:rsidP="00000000" w:rsidRDefault="00000000" w:rsidRPr="00000000" w14:paraId="0000000B">
      <w:pPr>
        <w:spacing w:line="288" w:lineRule="auto"/>
        <w:jc w:val="right"/>
        <w:rPr>
          <w:rFonts w:ascii="Times New Roman" w:cs="Times New Roman" w:eastAsia="Times New Roman" w:hAnsi="Times New Roman"/>
          <w:i w:val="1"/>
          <w:iCs w:val="1"/>
          <w:color w:val="0f1115"/>
          <w:sz w:val="26"/>
          <w:szCs w:val="26"/>
        </w:rPr>
      </w:pPr>
      <w:r w:rsidDel="00000000" w:rsidR="00000000" w:rsidRPr="00000000">
        <w:rPr>
          <w:rFonts w:ascii="Times New Roman" w:cs="Times New Roman" w:eastAsia="Times New Roman" w:hAnsi="Times New Roman"/>
          <w:i w:val="1"/>
          <w:iCs w:val="1"/>
          <w:color w:val="0f1115"/>
          <w:sz w:val="26"/>
          <w:szCs w:val="26"/>
          <w:rtl w:val="0"/>
        </w:rPr>
        <w:t xml:space="preserve">Email: </w:t>
      </w:r>
      <w:hyperlink r:id="rId8">
        <w:r w:rsidDel="00000000" w:rsidR="00000000" w:rsidRPr="00000000">
          <w:rPr>
            <w:rFonts w:ascii="Times New Roman" w:cs="Times New Roman" w:eastAsia="Times New Roman" w:hAnsi="Times New Roman"/>
            <w:i w:val="1"/>
            <w:iCs w:val="1"/>
            <w:color w:val="1155cc"/>
            <w:sz w:val="26"/>
            <w:szCs w:val="26"/>
            <w:u w:val="single"/>
            <w:rtl w:val="0"/>
          </w:rPr>
          <w:t xml:space="preserve">ydina2007@mail.ru</w:t>
        </w:r>
      </w:hyperlink>
      <w:r w:rsidDel="00000000" w:rsidR="00000000" w:rsidRPr="00000000">
        <w:rPr>
          <w:rtl w:val="0"/>
        </w:rPr>
      </w:r>
    </w:p>
    <w:p w:rsidR="00000000" w:rsidDel="00000000" w:rsidP="00000000" w:rsidRDefault="00000000" w:rsidRPr="00000000" w14:paraId="0000000C">
      <w:pPr>
        <w:spacing w:line="288" w:lineRule="auto"/>
        <w:jc w:val="right"/>
        <w:rPr>
          <w:rFonts w:ascii="Times New Roman" w:cs="Times New Roman" w:eastAsia="Times New Roman" w:hAnsi="Times New Roman"/>
          <w:i w:val="1"/>
          <w:iCs w:val="1"/>
          <w:color w:val="0f1115"/>
          <w:sz w:val="26"/>
          <w:szCs w:val="26"/>
        </w:rPr>
      </w:pPr>
      <w:r w:rsidDel="00000000" w:rsidR="00000000" w:rsidRPr="00000000">
        <w:rPr>
          <w:rFonts w:ascii="Times New Roman" w:cs="Times New Roman" w:eastAsia="Times New Roman" w:hAnsi="Times New Roman"/>
          <w:b w:val="1"/>
          <w:bCs w:val="1"/>
          <w:i w:val="1"/>
          <w:iCs w:val="1"/>
          <w:color w:val="0f1115"/>
          <w:sz w:val="26"/>
          <w:szCs w:val="26"/>
          <w:rtl w:val="0"/>
        </w:rPr>
        <w:t xml:space="preserve">Научный руководитель:</w:t>
        <w:br w:type="textWrapping"/>
      </w:r>
      <w:r w:rsidDel="00000000" w:rsidR="00000000" w:rsidRPr="00000000">
        <w:rPr>
          <w:rFonts w:ascii="Times New Roman" w:cs="Times New Roman" w:eastAsia="Times New Roman" w:hAnsi="Times New Roman"/>
          <w:i w:val="1"/>
          <w:iCs w:val="1"/>
          <w:color w:val="0f1115"/>
          <w:sz w:val="26"/>
          <w:szCs w:val="26"/>
          <w:rtl w:val="0"/>
        </w:rPr>
        <w:t xml:space="preserve">Ерохин Алексей Константинович, кандидат философских наук, доцент</w:t>
        <w:br w:type="textWrapping"/>
        <w:t xml:space="preserve">Дальневосточный юридический институт (филиал) Университет Прокуратуры</w:t>
      </w:r>
    </w:p>
    <w:p w:rsidR="00000000" w:rsidDel="00000000" w:rsidP="00000000" w:rsidRDefault="00000000" w:rsidRPr="00000000" w14:paraId="0000000D">
      <w:pPr>
        <w:spacing w:line="288" w:lineRule="auto"/>
        <w:jc w:val="right"/>
        <w:rPr>
          <w:rFonts w:ascii="Times New Roman" w:cs="Times New Roman" w:eastAsia="Times New Roman" w:hAnsi="Times New Roman"/>
          <w:i w:val="1"/>
          <w:iCs w:val="1"/>
          <w:color w:val="0f1115"/>
          <w:sz w:val="15"/>
          <w:szCs w:val="15"/>
        </w:rPr>
      </w:pPr>
      <w:r w:rsidDel="00000000" w:rsidR="00000000" w:rsidRPr="00000000">
        <w:rPr>
          <w:rFonts w:ascii="Times New Roman" w:cs="Times New Roman" w:eastAsia="Times New Roman" w:hAnsi="Times New Roman"/>
          <w:i w:val="1"/>
          <w:iCs w:val="1"/>
          <w:color w:val="0f1115"/>
          <w:sz w:val="15"/>
          <w:szCs w:val="15"/>
          <w:rtl w:val="0"/>
        </w:rPr>
        <w:t xml:space="preserve"> </w:t>
      </w:r>
    </w:p>
    <w:p w:rsidR="00000000" w:rsidDel="00000000" w:rsidP="00000000" w:rsidRDefault="00000000" w:rsidRPr="00000000" w14:paraId="0000000E">
      <w:pPr>
        <w:shd w:fill="ffffff" w:val="clear"/>
        <w:spacing w:line="288" w:lineRule="auto"/>
        <w:jc w:val="right"/>
        <w:rPr>
          <w:rFonts w:ascii="Times New Roman" w:cs="Times New Roman" w:eastAsia="Times New Roman" w:hAnsi="Times New Roman"/>
          <w:b w:val="1"/>
          <w:bCs w:val="1"/>
          <w:i w:val="1"/>
          <w:iCs w:val="1"/>
          <w:sz w:val="26"/>
          <w:szCs w:val="26"/>
          <w:highlight w:val="white"/>
        </w:rPr>
      </w:pPr>
      <w:r w:rsidDel="00000000" w:rsidR="00000000" w:rsidRPr="00000000">
        <w:rPr>
          <w:rFonts w:ascii="Times New Roman" w:cs="Times New Roman" w:eastAsia="Times New Roman" w:hAnsi="Times New Roman"/>
          <w:b w:val="1"/>
          <w:bCs w:val="1"/>
          <w:i w:val="1"/>
          <w:iCs w:val="1"/>
          <w:sz w:val="26"/>
          <w:szCs w:val="26"/>
          <w:highlight w:val="white"/>
          <w:rtl w:val="0"/>
        </w:rPr>
        <w:t xml:space="preserve">Scientific supervisor: </w:t>
      </w:r>
    </w:p>
    <w:p w:rsidR="00000000" w:rsidDel="00000000" w:rsidP="00000000" w:rsidRDefault="00000000" w:rsidRPr="00000000" w14:paraId="0000000F">
      <w:pPr>
        <w:shd w:fill="ffffff" w:val="clear"/>
        <w:spacing w:line="288" w:lineRule="auto"/>
        <w:jc w:val="right"/>
        <w:rPr>
          <w:rFonts w:ascii="Times New Roman" w:cs="Times New Roman" w:eastAsia="Times New Roman" w:hAnsi="Times New Roman"/>
          <w:i w:val="1"/>
          <w:iCs w:val="1"/>
          <w:sz w:val="26"/>
          <w:szCs w:val="26"/>
          <w:highlight w:val="white"/>
        </w:rPr>
      </w:pPr>
      <w:r w:rsidDel="00000000" w:rsidR="00000000" w:rsidRPr="00000000">
        <w:rPr>
          <w:rFonts w:ascii="Times New Roman" w:cs="Times New Roman" w:eastAsia="Times New Roman" w:hAnsi="Times New Roman"/>
          <w:i w:val="1"/>
          <w:iCs w:val="1"/>
          <w:sz w:val="26"/>
          <w:szCs w:val="26"/>
          <w:highlight w:val="white"/>
          <w:rtl w:val="0"/>
        </w:rPr>
        <w:t xml:space="preserve">Erokhin Alexey Konstantinovich, Candidate of Philosophy, Associate Professor </w:t>
      </w:r>
    </w:p>
    <w:p w:rsidR="00000000" w:rsidDel="00000000" w:rsidP="00000000" w:rsidRDefault="00000000" w:rsidRPr="00000000" w14:paraId="00000010">
      <w:pPr>
        <w:spacing w:line="288" w:lineRule="auto"/>
        <w:jc w:val="right"/>
        <w:rPr>
          <w:rFonts w:ascii="Times New Roman" w:cs="Times New Roman" w:eastAsia="Times New Roman" w:hAnsi="Times New Roman"/>
          <w:i w:val="1"/>
          <w:iCs w:val="1"/>
          <w:sz w:val="26"/>
          <w:szCs w:val="26"/>
          <w:highlight w:val="white"/>
        </w:rPr>
      </w:pPr>
      <w:r w:rsidDel="00000000" w:rsidR="00000000" w:rsidRPr="00000000">
        <w:rPr>
          <w:rFonts w:ascii="Times New Roman" w:cs="Times New Roman" w:eastAsia="Times New Roman" w:hAnsi="Times New Roman"/>
          <w:i w:val="1"/>
          <w:iCs w:val="1"/>
          <w:sz w:val="26"/>
          <w:szCs w:val="26"/>
          <w:highlight w:val="white"/>
          <w:rtl w:val="0"/>
        </w:rPr>
        <w:t xml:space="preserve">Far Eastern Law Institute (branch) University of the Prosecutor's Office</w:t>
      </w:r>
    </w:p>
    <w:p w:rsidR="00000000" w:rsidDel="00000000" w:rsidP="00000000" w:rsidRDefault="00000000" w:rsidRPr="00000000" w14:paraId="00000011">
      <w:pPr>
        <w:spacing w:line="288" w:lineRule="auto"/>
        <w:jc w:val="right"/>
        <w:rPr>
          <w:rFonts w:ascii="Times New Roman" w:cs="Times New Roman" w:eastAsia="Times New Roman" w:hAnsi="Times New Roman"/>
          <w:i w:val="1"/>
          <w:iCs w:val="1"/>
          <w:color w:val="0f1115"/>
          <w:sz w:val="26"/>
          <w:szCs w:val="26"/>
        </w:rPr>
      </w:pPr>
      <w:r w:rsidDel="00000000" w:rsidR="00000000" w:rsidRPr="00000000">
        <w:rPr>
          <w:rtl w:val="0"/>
        </w:rPr>
      </w:r>
    </w:p>
    <w:p w:rsidR="00000000" w:rsidDel="00000000" w:rsidP="00000000" w:rsidRDefault="00000000" w:rsidRPr="00000000" w14:paraId="00000012">
      <w:pPr>
        <w:jc w:val="center"/>
        <w:rPr/>
      </w:pPr>
      <w:r w:rsidDel="00000000" w:rsidR="00000000" w:rsidRPr="00000000">
        <w:rPr>
          <w:rtl w:val="0"/>
        </w:rPr>
      </w:r>
    </w:p>
    <w:p w:rsidR="00000000" w:rsidDel="00000000" w:rsidP="00000000" w:rsidRDefault="00000000" w:rsidRPr="00000000" w14:paraId="00000013">
      <w:pPr>
        <w:pStyle w:val="Heading2"/>
        <w:keepNext w:val="0"/>
        <w:keepLines w:val="0"/>
        <w:spacing w:after="80" w:lineRule="auto"/>
        <w:rPr>
          <w:rFonts w:ascii="Times New Roman" w:cs="Times New Roman" w:eastAsia="Times New Roman" w:hAnsi="Times New Roman"/>
          <w:b w:val="1"/>
          <w:bCs w:val="1"/>
          <w:sz w:val="34"/>
          <w:szCs w:val="34"/>
        </w:rPr>
      </w:pPr>
      <w:bookmarkStart w:colFirst="0" w:colLast="0" w:name="_heading=h.xqv64y5ur0jq" w:id="2"/>
      <w:bookmarkEnd w:id="2"/>
      <w:r w:rsidDel="00000000" w:rsidR="00000000" w:rsidRPr="00000000">
        <w:rPr>
          <w:rFonts w:ascii="Times New Roman" w:cs="Times New Roman" w:eastAsia="Times New Roman" w:hAnsi="Times New Roman"/>
          <w:b w:val="1"/>
          <w:bCs w:val="1"/>
          <w:sz w:val="34"/>
          <w:szCs w:val="34"/>
          <w:rtl w:val="0"/>
        </w:rPr>
        <w:t xml:space="preserve">Аннотация</w:t>
      </w:r>
    </w:p>
    <w:p w:rsidR="00000000" w:rsidDel="00000000" w:rsidP="00000000" w:rsidRDefault="00000000" w:rsidRPr="00000000" w14:paraId="00000014">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статье исследуется влияние нефтяного сектора на формирование доходной базы региональных бюджетов. Введён авторский коэффициент отраслевой концентрации бюджета (КОКБ), отражающий степень зависимости бюджета от одной отрасли. На примере Сахалинской области и Владивостока показано, что высокая концентрация доходов в нефтяном секторе повышает финансовую уязвимость региона, несмотря на высокий уровень доходов. Владивостокская модель, характеризующаяся диверсификацией, демонстрирует более стабильный рост и устойчивость к внешним экономическим колебаниям. Работа содержит рекомендации по диверсификации доходов и повышению финансовой устойчивости регионов.</w:t>
      </w:r>
    </w:p>
    <w:p w:rsidR="00000000" w:rsidDel="00000000" w:rsidP="00000000" w:rsidRDefault="00000000" w:rsidRPr="00000000" w14:paraId="00000015">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Ключевые слова: региональные финансы, нефтяной сектор, бюджетная устойчивость, диверсификация, коэффициент отраслевой концентрации, авторский анализ.</w:t>
      </w:r>
    </w:p>
    <w:p w:rsidR="00000000" w:rsidDel="00000000" w:rsidP="00000000" w:rsidRDefault="00000000" w:rsidRPr="00000000" w14:paraId="00000016">
      <w:pPr>
        <w:spacing w:after="240" w:before="240" w:lineRule="auto"/>
        <w:rPr>
          <w:rFonts w:ascii="Times New Roman" w:cs="Times New Roman" w:eastAsia="Times New Roman" w:hAnsi="Times New Roman"/>
          <w:b w:val="1"/>
          <w:bCs w:val="1"/>
          <w:sz w:val="34"/>
          <w:szCs w:val="34"/>
        </w:rPr>
      </w:pPr>
      <w:r w:rsidDel="00000000" w:rsidR="00000000" w:rsidRPr="00000000">
        <w:rPr>
          <w:rFonts w:ascii="Times New Roman" w:cs="Times New Roman" w:eastAsia="Times New Roman" w:hAnsi="Times New Roman"/>
          <w:b w:val="1"/>
          <w:bCs w:val="1"/>
          <w:sz w:val="34"/>
          <w:szCs w:val="34"/>
          <w:rtl w:val="0"/>
        </w:rPr>
        <w:t xml:space="preserve">Abstract</w:t>
      </w:r>
    </w:p>
    <w:p w:rsidR="00000000" w:rsidDel="00000000" w:rsidP="00000000" w:rsidRDefault="00000000" w:rsidRPr="00000000" w14:paraId="00000017">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This article examines the impact of the oil sector on the formation of regional budget revenues. A proprietary coefficient of industry budget concentration (CIBC) is introduced, reflecting the degree of budget dependence on a single industry. Using the Sakhalin Region and Vladivostok as examples, it is shown that high revenue concentration in the oil sector increases the region's financial vulnerability, despite high revenue levels. The Vladivostok model, characterized by diversification, demonstrates more stable growth and resilience to external economic fluctuations. The article provides recommendations for revenue diversification and improving regional financial stability.</w:t>
      </w:r>
    </w:p>
    <w:p w:rsidR="00000000" w:rsidDel="00000000" w:rsidP="00000000" w:rsidRDefault="00000000" w:rsidRPr="00000000" w14:paraId="00000018">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Keywords: regional finances, oil sector, budget sustainability, diversification, CIBC, proprietary analysis.</w:t>
      </w:r>
    </w:p>
    <w:p w:rsidR="00000000" w:rsidDel="00000000" w:rsidP="00000000" w:rsidRDefault="00000000" w:rsidRPr="00000000" w14:paraId="00000019">
      <w:pPr>
        <w:pStyle w:val="Heading2"/>
        <w:keepNext w:val="0"/>
        <w:keepLines w:val="0"/>
        <w:spacing w:after="80" w:lineRule="auto"/>
        <w:rPr>
          <w:rFonts w:ascii="Times New Roman" w:cs="Times New Roman" w:eastAsia="Times New Roman" w:hAnsi="Times New Roman"/>
          <w:b w:val="1"/>
          <w:bCs w:val="1"/>
          <w:sz w:val="34"/>
          <w:szCs w:val="34"/>
        </w:rPr>
      </w:pPr>
      <w:bookmarkStart w:colFirst="0" w:colLast="0" w:name="_heading=h.adst5jjxv3bl" w:id="3"/>
      <w:bookmarkEnd w:id="3"/>
      <w:r w:rsidDel="00000000" w:rsidR="00000000" w:rsidRPr="00000000">
        <w:rPr>
          <w:rFonts w:ascii="Times New Roman" w:cs="Times New Roman" w:eastAsia="Times New Roman" w:hAnsi="Times New Roman"/>
          <w:b w:val="1"/>
          <w:bCs w:val="1"/>
          <w:sz w:val="34"/>
          <w:szCs w:val="34"/>
          <w:rtl w:val="0"/>
        </w:rPr>
        <w:t xml:space="preserve">Введение</w:t>
      </w:r>
    </w:p>
    <w:p w:rsidR="00000000" w:rsidDel="00000000" w:rsidP="00000000" w:rsidRDefault="00000000" w:rsidRPr="00000000" w14:paraId="0000001A">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Региональные бюджеты формируются под влиянием структуры экономики территории. В ряде российских регионов экономика концентрируется в одной отрасли — чаще всего добывающей. Это позволяет быстро наращивать доходы, но одновременно создаёт зависимость бюджета от внешних факторов, таких как колебания мировых цен на нефть, изменения спроса на ресурсы и макроэкономические шоки.</w:t>
      </w:r>
    </w:p>
    <w:p w:rsidR="00000000" w:rsidDel="00000000" w:rsidP="00000000" w:rsidRDefault="00000000" w:rsidRPr="00000000" w14:paraId="0000001B">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Цель работы — показать, что финансовая устойчивость регионов зависит не столько от абсолютного объёма доходов, сколько от их структуры. Для достижения цели используется авторский коэффициент отраслевой концентрации бюджета (КОКБ), позволяющий количественно оценить риски, связанные с концентрацией доходов в одной отрасли.</w:t>
      </w:r>
    </w:p>
    <w:p w:rsidR="00000000" w:rsidDel="00000000" w:rsidP="00000000" w:rsidRDefault="00000000" w:rsidRPr="00000000" w14:paraId="0000001C">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pStyle w:val="Heading2"/>
        <w:keepNext w:val="0"/>
        <w:keepLines w:val="0"/>
        <w:spacing w:after="80" w:lineRule="auto"/>
        <w:rPr>
          <w:rFonts w:ascii="Times New Roman" w:cs="Times New Roman" w:eastAsia="Times New Roman" w:hAnsi="Times New Roman"/>
          <w:b w:val="1"/>
          <w:bCs w:val="1"/>
          <w:sz w:val="34"/>
          <w:szCs w:val="34"/>
        </w:rPr>
      </w:pPr>
      <w:bookmarkStart w:colFirst="0" w:colLast="0" w:name="_heading=h.njpzj8woh3e3" w:id="4"/>
      <w:bookmarkEnd w:id="4"/>
      <w:r w:rsidDel="00000000" w:rsidR="00000000" w:rsidRPr="00000000">
        <w:rPr>
          <w:rFonts w:ascii="Times New Roman" w:cs="Times New Roman" w:eastAsia="Times New Roman" w:hAnsi="Times New Roman"/>
          <w:b w:val="1"/>
          <w:bCs w:val="1"/>
          <w:sz w:val="34"/>
          <w:szCs w:val="34"/>
          <w:rtl w:val="0"/>
        </w:rPr>
        <w:t xml:space="preserve">Методология</w:t>
      </w:r>
    </w:p>
    <w:p w:rsidR="00000000" w:rsidDel="00000000" w:rsidP="00000000" w:rsidRDefault="00000000" w:rsidRPr="00000000" w14:paraId="0000001E">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Авторская методика исследования включает:</w:t>
      </w:r>
    </w:p>
    <w:p w:rsidR="00000000" w:rsidDel="00000000" w:rsidP="00000000" w:rsidRDefault="00000000" w:rsidRPr="00000000" w14:paraId="0000001F">
      <w:pPr>
        <w:numPr>
          <w:ilvl w:val="0"/>
          <w:numId w:val="1"/>
        </w:numPr>
        <w:spacing w:after="0" w:before="48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Структурный анализ доходной базы регионов.</w:t>
        <w:br w:type="textWrapping"/>
      </w:r>
    </w:p>
    <w:p w:rsidR="00000000" w:rsidDel="00000000" w:rsidP="00000000" w:rsidRDefault="00000000" w:rsidRPr="00000000" w14:paraId="00000020">
      <w:pPr>
        <w:numPr>
          <w:ilvl w:val="0"/>
          <w:numId w:val="1"/>
        </w:numPr>
        <w:spacing w:after="0" w:before="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Сравнение двух моделей экономики: ресурсно-ориентированной и диверсифицированной.</w:t>
        <w:br w:type="textWrapping"/>
      </w:r>
    </w:p>
    <w:p w:rsidR="00000000" w:rsidDel="00000000" w:rsidP="00000000" w:rsidRDefault="00000000" w:rsidRPr="00000000" w14:paraId="00000021">
      <w:pPr>
        <w:numPr>
          <w:ilvl w:val="0"/>
          <w:numId w:val="1"/>
        </w:numPr>
        <w:spacing w:after="0" w:before="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Введение коэффициента отраслевой концентрации бюджета (КОКБ), где значение 1 соответствует полной зависимости от одной отрасли, а значение 0 — полной диверсификации.</w:t>
        <w:br w:type="textWrapping"/>
      </w:r>
    </w:p>
    <w:p w:rsidR="00000000" w:rsidDel="00000000" w:rsidP="00000000" w:rsidRDefault="00000000" w:rsidRPr="00000000" w14:paraId="00000022">
      <w:pPr>
        <w:numPr>
          <w:ilvl w:val="0"/>
          <w:numId w:val="1"/>
        </w:numPr>
        <w:spacing w:after="480" w:before="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Моделирование воздействия внешних экономических шоков на доходы регионов, таких как падение мировых цен на нефть и рост социальных расходов.</w:t>
        <w:br w:type="textWrapping"/>
      </w:r>
    </w:p>
    <w:p w:rsidR="00000000" w:rsidDel="00000000" w:rsidP="00000000" w:rsidRDefault="00000000" w:rsidRPr="00000000" w14:paraId="00000023">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Метод позволяет выявить скрытые риски и оценить устойчивость бюджета при различных сценариях развития.</w:t>
      </w:r>
    </w:p>
    <w:p w:rsidR="00000000" w:rsidDel="00000000" w:rsidP="00000000" w:rsidRDefault="00000000" w:rsidRPr="00000000" w14:paraId="00000024">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pStyle w:val="Heading2"/>
        <w:keepNext w:val="0"/>
        <w:keepLines w:val="0"/>
        <w:spacing w:after="80" w:lineRule="auto"/>
        <w:rPr>
          <w:rFonts w:ascii="Times New Roman" w:cs="Times New Roman" w:eastAsia="Times New Roman" w:hAnsi="Times New Roman"/>
          <w:b w:val="1"/>
          <w:bCs w:val="1"/>
          <w:sz w:val="34"/>
          <w:szCs w:val="34"/>
        </w:rPr>
      </w:pPr>
      <w:bookmarkStart w:colFirst="0" w:colLast="0" w:name="_heading=h.jvqwpuqxuwrc" w:id="5"/>
      <w:bookmarkEnd w:id="5"/>
      <w:r w:rsidDel="00000000" w:rsidR="00000000" w:rsidRPr="00000000">
        <w:rPr>
          <w:rFonts w:ascii="Times New Roman" w:cs="Times New Roman" w:eastAsia="Times New Roman" w:hAnsi="Times New Roman"/>
          <w:b w:val="1"/>
          <w:bCs w:val="1"/>
          <w:sz w:val="34"/>
          <w:szCs w:val="34"/>
          <w:rtl w:val="0"/>
        </w:rPr>
        <w:t xml:space="preserve">Теоретические основы</w:t>
      </w:r>
    </w:p>
    <w:p w:rsidR="00000000" w:rsidDel="00000000" w:rsidP="00000000" w:rsidRDefault="00000000" w:rsidRPr="00000000" w14:paraId="00000026">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экономической науке различают два типа бюджетной модели регионов:</w:t>
      </w:r>
    </w:p>
    <w:p w:rsidR="00000000" w:rsidDel="00000000" w:rsidP="00000000" w:rsidRDefault="00000000" w:rsidRPr="00000000" w14:paraId="00000027">
      <w:pPr>
        <w:numPr>
          <w:ilvl w:val="0"/>
          <w:numId w:val="2"/>
        </w:numPr>
        <w:spacing w:after="0" w:before="48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Ресурсно-ориентированная модель, где основная часть доходов формируется одной отраслью, чаще всего добывающей. Такая структура обеспечивает быстрый рост бюджета при благоприятной конъюнктуре, но высоко рисковая при внешних колебаниях. Автор вводит термин «фискальная моноцентричность», отражающий зависимость бюджета от одного сектора.</w:t>
        <w:br w:type="textWrapping"/>
      </w:r>
    </w:p>
    <w:p w:rsidR="00000000" w:rsidDel="00000000" w:rsidP="00000000" w:rsidRDefault="00000000" w:rsidRPr="00000000" w14:paraId="00000028">
      <w:pPr>
        <w:numPr>
          <w:ilvl w:val="0"/>
          <w:numId w:val="2"/>
        </w:numPr>
        <w:spacing w:after="480" w:before="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Полицентрическая модель, где доходы распределены между различными секторами экономики — промышленностью, торговлей, транспортом, услугами. Эта структура обеспечивает финансовую устойчивость и позволяет смягчать последствия внешних шоков. Автор обозначает её как «полицентрическая структура доходов».</w:t>
        <w:br w:type="textWrapping"/>
      </w:r>
    </w:p>
    <w:p w:rsidR="00000000" w:rsidDel="00000000" w:rsidP="00000000" w:rsidRDefault="00000000" w:rsidRPr="00000000" w14:paraId="00000029">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Понимание этих моделей важно для прогнозирования бюджета и разработки мер по диверсификации доходов.</w:t>
      </w:r>
    </w:p>
    <w:p w:rsidR="00000000" w:rsidDel="00000000" w:rsidP="00000000" w:rsidRDefault="00000000" w:rsidRPr="00000000" w14:paraId="0000002A">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B">
      <w:pPr>
        <w:pStyle w:val="Heading2"/>
        <w:keepNext w:val="0"/>
        <w:keepLines w:val="0"/>
        <w:spacing w:after="80" w:lineRule="auto"/>
        <w:rPr>
          <w:rFonts w:ascii="Times New Roman" w:cs="Times New Roman" w:eastAsia="Times New Roman" w:hAnsi="Times New Roman"/>
          <w:b w:val="1"/>
          <w:bCs w:val="1"/>
          <w:sz w:val="34"/>
          <w:szCs w:val="34"/>
        </w:rPr>
      </w:pPr>
      <w:bookmarkStart w:colFirst="0" w:colLast="0" w:name="_heading=h.frxodaxzu475" w:id="6"/>
      <w:bookmarkEnd w:id="6"/>
      <w:r w:rsidDel="00000000" w:rsidR="00000000" w:rsidRPr="00000000">
        <w:rPr>
          <w:rFonts w:ascii="Times New Roman" w:cs="Times New Roman" w:eastAsia="Times New Roman" w:hAnsi="Times New Roman"/>
          <w:b w:val="1"/>
          <w:bCs w:val="1"/>
          <w:sz w:val="34"/>
          <w:szCs w:val="34"/>
          <w:rtl w:val="0"/>
        </w:rPr>
        <w:t xml:space="preserve">Сахалинская область: ресурсно-ориентированная модель</w:t>
      </w:r>
    </w:p>
    <w:p w:rsidR="00000000" w:rsidDel="00000000" w:rsidP="00000000" w:rsidRDefault="00000000" w:rsidRPr="00000000" w14:paraId="0000002C">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Сахалин — яркий пример региона с высокой концентрацией доходов в нефтегазовой отрасли. По авторской оценке, налог на добычу и прибыль нефтяных компаний формирует около 60% бюджета, тогда как остальные налоги, включая НДФЛ и малый бизнес, составляют 40%.</w:t>
      </w:r>
    </w:p>
    <w:p w:rsidR="00000000" w:rsidDel="00000000" w:rsidP="00000000" w:rsidRDefault="00000000" w:rsidRPr="00000000" w14:paraId="0000002D">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Коэффициент отраслевой концентрации бюджета (КОКБ) для Сахалина равен 0,6, что отражает высокую уязвимость к колебаниям внешней конъюнктуры. В периоды роста мировых цен на нефть регион получает высокий доход и может финансировать масштабные инфраструктурные проекты, однако при падении цен бюджет испытывает существенные потери, сокращая социальные и инвестиционные расходы.</w:t>
      </w:r>
    </w:p>
    <w:p w:rsidR="00000000" w:rsidDel="00000000" w:rsidP="00000000" w:rsidRDefault="00000000" w:rsidRPr="00000000" w14:paraId="0000002E">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F">
      <w:pPr>
        <w:pStyle w:val="Heading2"/>
        <w:keepNext w:val="0"/>
        <w:keepLines w:val="0"/>
        <w:spacing w:after="80" w:lineRule="auto"/>
        <w:rPr>
          <w:rFonts w:ascii="Times New Roman" w:cs="Times New Roman" w:eastAsia="Times New Roman" w:hAnsi="Times New Roman"/>
          <w:b w:val="1"/>
          <w:bCs w:val="1"/>
          <w:sz w:val="34"/>
          <w:szCs w:val="34"/>
        </w:rPr>
      </w:pPr>
      <w:bookmarkStart w:colFirst="0" w:colLast="0" w:name="_heading=h.v2saos2z3mxo" w:id="7"/>
      <w:bookmarkEnd w:id="7"/>
      <w:r w:rsidDel="00000000" w:rsidR="00000000" w:rsidRPr="00000000">
        <w:rPr>
          <w:rFonts w:ascii="Times New Roman" w:cs="Times New Roman" w:eastAsia="Times New Roman" w:hAnsi="Times New Roman"/>
          <w:b w:val="1"/>
          <w:bCs w:val="1"/>
          <w:sz w:val="34"/>
          <w:szCs w:val="34"/>
          <w:rtl w:val="0"/>
        </w:rPr>
        <w:t xml:space="preserve">Владивосток: диверсифицированная модель</w:t>
      </w:r>
    </w:p>
    <w:p w:rsidR="00000000" w:rsidDel="00000000" w:rsidP="00000000" w:rsidRDefault="00000000" w:rsidRPr="00000000" w14:paraId="00000030">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Владивосток демонстрирует более равномерное распределение доходов между разными секторами экономики. Авторская оценка распределения бюджета: налоги с предприятий — 30%, НДФЛ — 25%, трансферты и субсидии — 35%, доля нефтяного сектора — около 10%.</w:t>
      </w:r>
    </w:p>
    <w:p w:rsidR="00000000" w:rsidDel="00000000" w:rsidP="00000000" w:rsidRDefault="00000000" w:rsidRPr="00000000" w14:paraId="00000031">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КОКБ для Владивостока равен 0,3, что отражает низкую зависимость бюджета от одной отрасли. Такая структура позволяет региону сохранять финансовую устойчивость при внешних колебаниях и планировать долгосрочные социальные и инфраструктурные программы.</w:t>
      </w:r>
    </w:p>
    <w:p w:rsidR="00000000" w:rsidDel="00000000" w:rsidP="00000000" w:rsidRDefault="00000000" w:rsidRPr="00000000" w14:paraId="00000032">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3">
      <w:pPr>
        <w:pStyle w:val="Heading2"/>
        <w:keepNext w:val="0"/>
        <w:keepLines w:val="0"/>
        <w:spacing w:after="80" w:lineRule="auto"/>
        <w:rPr>
          <w:rFonts w:ascii="Times New Roman" w:cs="Times New Roman" w:eastAsia="Times New Roman" w:hAnsi="Times New Roman"/>
          <w:b w:val="1"/>
          <w:bCs w:val="1"/>
          <w:sz w:val="34"/>
          <w:szCs w:val="34"/>
        </w:rPr>
      </w:pPr>
      <w:bookmarkStart w:colFirst="0" w:colLast="0" w:name="_heading=h.csbs5231afrn" w:id="8"/>
      <w:bookmarkEnd w:id="8"/>
      <w:r w:rsidDel="00000000" w:rsidR="00000000" w:rsidRPr="00000000">
        <w:rPr>
          <w:rFonts w:ascii="Times New Roman" w:cs="Times New Roman" w:eastAsia="Times New Roman" w:hAnsi="Times New Roman"/>
          <w:b w:val="1"/>
          <w:bCs w:val="1"/>
          <w:sz w:val="34"/>
          <w:szCs w:val="34"/>
          <w:rtl w:val="0"/>
        </w:rPr>
        <w:t xml:space="preserve">Эмпирический анализ</w:t>
      </w:r>
    </w:p>
    <w:p w:rsidR="00000000" w:rsidDel="00000000" w:rsidP="00000000" w:rsidRDefault="00000000" w:rsidRPr="00000000" w14:paraId="00000034">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Моделирование сценария падения мировых цен на нефть на 30% показывает, что Сахалин теряет до 25% бюджета, тогда как Владивосток — всего 5–7%. При увеличении расходов на социальные программы на 10% ресурсная модель региона показывает значительное снижение доступных средств, тогда как диверсифицированная модель реагирует мягче.</w:t>
      </w:r>
    </w:p>
    <w:p w:rsidR="00000000" w:rsidDel="00000000" w:rsidP="00000000" w:rsidRDefault="00000000" w:rsidRPr="00000000" w14:paraId="00000035">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Результаты демонстрируют, что финансовая устойчивость определяется структурой доходов, а не их общим объемом. Высокая концентрация доходов повышает доходность, но создаёт риски.</w:t>
      </w:r>
    </w:p>
    <w:p w:rsidR="00000000" w:rsidDel="00000000" w:rsidP="00000000" w:rsidRDefault="00000000" w:rsidRPr="00000000" w14:paraId="00000036">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7">
      <w:pPr>
        <w:pStyle w:val="Heading2"/>
        <w:keepNext w:val="0"/>
        <w:keepLines w:val="0"/>
        <w:spacing w:after="80" w:lineRule="auto"/>
        <w:rPr>
          <w:rFonts w:ascii="Times New Roman" w:cs="Times New Roman" w:eastAsia="Times New Roman" w:hAnsi="Times New Roman"/>
          <w:b w:val="1"/>
          <w:bCs w:val="1"/>
          <w:sz w:val="34"/>
          <w:szCs w:val="34"/>
        </w:rPr>
      </w:pPr>
      <w:bookmarkStart w:colFirst="0" w:colLast="0" w:name="_heading=h.j9uki5kae45s" w:id="9"/>
      <w:bookmarkEnd w:id="9"/>
      <w:r w:rsidDel="00000000" w:rsidR="00000000" w:rsidRPr="00000000">
        <w:rPr>
          <w:rFonts w:ascii="Times New Roman" w:cs="Times New Roman" w:eastAsia="Times New Roman" w:hAnsi="Times New Roman"/>
          <w:b w:val="1"/>
          <w:bCs w:val="1"/>
          <w:sz w:val="34"/>
          <w:szCs w:val="34"/>
          <w:rtl w:val="0"/>
        </w:rPr>
        <w:t xml:space="preserve">Социально-экономические последствия</w:t>
      </w:r>
    </w:p>
    <w:p w:rsidR="00000000" w:rsidDel="00000000" w:rsidP="00000000" w:rsidRDefault="00000000" w:rsidRPr="00000000" w14:paraId="00000038">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Структура бюджета напрямую влияет на реализацию социальных и инфраструктурных программ.</w:t>
      </w:r>
    </w:p>
    <w:p w:rsidR="00000000" w:rsidDel="00000000" w:rsidP="00000000" w:rsidRDefault="00000000" w:rsidRPr="00000000" w14:paraId="00000039">
      <w:pPr>
        <w:numPr>
          <w:ilvl w:val="0"/>
          <w:numId w:val="3"/>
        </w:numPr>
        <w:spacing w:after="0" w:before="48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Сахалин: зависимость от нефтяного сектора приводит к значительным колебаниям финансирования образования, здравоохранения и транспортной инфраструктуры. В периоды падения цен на нефть реализация программ сокращается.</w:t>
        <w:br w:type="textWrapping"/>
      </w:r>
    </w:p>
    <w:p w:rsidR="00000000" w:rsidDel="00000000" w:rsidP="00000000" w:rsidRDefault="00000000" w:rsidRPr="00000000" w14:paraId="0000003A">
      <w:pPr>
        <w:numPr>
          <w:ilvl w:val="0"/>
          <w:numId w:val="3"/>
        </w:numPr>
        <w:spacing w:after="480" w:before="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Владивосток: диверсифицированный бюджет позволяет финансировать социальные услуги и инфраструктурные проекты стабильно, независимо от внешних колебаний.</w:t>
        <w:br w:type="textWrapping"/>
      </w:r>
    </w:p>
    <w:p w:rsidR="00000000" w:rsidDel="00000000" w:rsidP="00000000" w:rsidRDefault="00000000" w:rsidRPr="00000000" w14:paraId="0000003B">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Таким образом, структура доходов определяет не только финансовую устойчивость, но и качество жизни населения.</w:t>
      </w:r>
    </w:p>
    <w:p w:rsidR="00000000" w:rsidDel="00000000" w:rsidP="00000000" w:rsidRDefault="00000000" w:rsidRPr="00000000" w14:paraId="0000003C">
      <w:pPr>
        <w:pStyle w:val="Heading2"/>
        <w:keepNext w:val="0"/>
        <w:keepLines w:val="0"/>
        <w:spacing w:after="80" w:lineRule="auto"/>
        <w:rPr>
          <w:rFonts w:ascii="Times New Roman" w:cs="Times New Roman" w:eastAsia="Times New Roman" w:hAnsi="Times New Roman"/>
          <w:b w:val="1"/>
          <w:bCs w:val="1"/>
          <w:sz w:val="34"/>
          <w:szCs w:val="34"/>
        </w:rPr>
      </w:pPr>
      <w:bookmarkStart w:colFirst="0" w:colLast="0" w:name="_heading=h.upeoevbv5ia" w:id="10"/>
      <w:bookmarkEnd w:id="10"/>
      <w:r w:rsidDel="00000000" w:rsidR="00000000" w:rsidRPr="00000000">
        <w:rPr>
          <w:rtl w:val="0"/>
        </w:rPr>
      </w:r>
    </w:p>
    <w:p w:rsidR="00000000" w:rsidDel="00000000" w:rsidP="00000000" w:rsidRDefault="00000000" w:rsidRPr="00000000" w14:paraId="0000003D">
      <w:pPr>
        <w:pStyle w:val="Heading2"/>
        <w:keepNext w:val="0"/>
        <w:keepLines w:val="0"/>
        <w:spacing w:after="80" w:lineRule="auto"/>
        <w:rPr>
          <w:rFonts w:ascii="Times New Roman" w:cs="Times New Roman" w:eastAsia="Times New Roman" w:hAnsi="Times New Roman"/>
          <w:b w:val="1"/>
          <w:bCs w:val="1"/>
          <w:sz w:val="34"/>
          <w:szCs w:val="34"/>
        </w:rPr>
      </w:pPr>
      <w:bookmarkStart w:colFirst="0" w:colLast="0" w:name="_heading=h.mp5vtgvokv1f" w:id="11"/>
      <w:bookmarkEnd w:id="11"/>
      <w:r w:rsidDel="00000000" w:rsidR="00000000" w:rsidRPr="00000000">
        <w:rPr>
          <w:rFonts w:ascii="Times New Roman" w:cs="Times New Roman" w:eastAsia="Times New Roman" w:hAnsi="Times New Roman"/>
          <w:b w:val="1"/>
          <w:bCs w:val="1"/>
          <w:sz w:val="34"/>
          <w:szCs w:val="34"/>
          <w:rtl w:val="0"/>
        </w:rPr>
        <w:t xml:space="preserve">Рекомендации</w:t>
      </w:r>
    </w:p>
    <w:p w:rsidR="00000000" w:rsidDel="00000000" w:rsidP="00000000" w:rsidRDefault="00000000" w:rsidRPr="00000000" w14:paraId="0000003E">
      <w:pPr>
        <w:numPr>
          <w:ilvl w:val="0"/>
          <w:numId w:val="5"/>
        </w:numPr>
        <w:spacing w:after="0" w:before="48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Стимулировать диверсификацию доходов за счёт развития малого и среднего бизнеса, промышленности, транспорта и услуг.</w:t>
        <w:br w:type="textWrapping"/>
      </w:r>
    </w:p>
    <w:p w:rsidR="00000000" w:rsidDel="00000000" w:rsidP="00000000" w:rsidRDefault="00000000" w:rsidRPr="00000000" w14:paraId="0000003F">
      <w:pPr>
        <w:numPr>
          <w:ilvl w:val="0"/>
          <w:numId w:val="5"/>
        </w:numPr>
        <w:spacing w:after="0" w:before="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Создавать резервные фонды и финансовые буферы для смягчения последствий падения цен на сырьё.</w:t>
        <w:br w:type="textWrapping"/>
      </w:r>
    </w:p>
    <w:p w:rsidR="00000000" w:rsidDel="00000000" w:rsidP="00000000" w:rsidRDefault="00000000" w:rsidRPr="00000000" w14:paraId="00000040">
      <w:pPr>
        <w:numPr>
          <w:ilvl w:val="0"/>
          <w:numId w:val="5"/>
        </w:numPr>
        <w:spacing w:after="0" w:before="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Использовать коэффициент отраслевой концентрации бюджета (КОКБ) как инструмент мониторинга и принятия решений.</w:t>
        <w:br w:type="textWrapping"/>
      </w:r>
    </w:p>
    <w:p w:rsidR="00000000" w:rsidDel="00000000" w:rsidP="00000000" w:rsidRDefault="00000000" w:rsidRPr="00000000" w14:paraId="00000041">
      <w:pPr>
        <w:numPr>
          <w:ilvl w:val="0"/>
          <w:numId w:val="5"/>
        </w:numPr>
        <w:spacing w:after="480" w:before="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Планировать социальные и инфраструктурные расходы с учётом возможных колебаний доходов.</w:t>
        <w:br w:type="textWrapping"/>
      </w:r>
    </w:p>
    <w:p w:rsidR="00000000" w:rsidDel="00000000" w:rsidP="00000000" w:rsidRDefault="00000000" w:rsidRPr="00000000" w14:paraId="00000042">
      <w:pPr>
        <w:pStyle w:val="Heading2"/>
        <w:keepNext w:val="0"/>
        <w:keepLines w:val="0"/>
        <w:spacing w:after="80" w:lineRule="auto"/>
        <w:rPr>
          <w:rFonts w:ascii="Times New Roman" w:cs="Times New Roman" w:eastAsia="Times New Roman" w:hAnsi="Times New Roman"/>
          <w:b w:val="1"/>
          <w:bCs w:val="1"/>
          <w:sz w:val="34"/>
          <w:szCs w:val="34"/>
        </w:rPr>
      </w:pPr>
      <w:bookmarkStart w:colFirst="0" w:colLast="0" w:name="_heading=h.qx56jt8jqpl1" w:id="12"/>
      <w:bookmarkEnd w:id="12"/>
      <w:r w:rsidDel="00000000" w:rsidR="00000000" w:rsidRPr="00000000">
        <w:rPr>
          <w:rtl w:val="0"/>
        </w:rPr>
      </w:r>
    </w:p>
    <w:p w:rsidR="00000000" w:rsidDel="00000000" w:rsidP="00000000" w:rsidRDefault="00000000" w:rsidRPr="00000000" w14:paraId="00000043">
      <w:pPr>
        <w:pStyle w:val="Heading2"/>
        <w:keepNext w:val="0"/>
        <w:keepLines w:val="0"/>
        <w:spacing w:after="80" w:lineRule="auto"/>
        <w:rPr>
          <w:rFonts w:ascii="Times New Roman" w:cs="Times New Roman" w:eastAsia="Times New Roman" w:hAnsi="Times New Roman"/>
          <w:b w:val="1"/>
          <w:bCs w:val="1"/>
          <w:sz w:val="34"/>
          <w:szCs w:val="34"/>
        </w:rPr>
      </w:pPr>
      <w:bookmarkStart w:colFirst="0" w:colLast="0" w:name="_heading=h.k4th3l5lnhll" w:id="13"/>
      <w:bookmarkEnd w:id="13"/>
      <w:r w:rsidDel="00000000" w:rsidR="00000000" w:rsidRPr="00000000">
        <w:rPr>
          <w:rFonts w:ascii="Times New Roman" w:cs="Times New Roman" w:eastAsia="Times New Roman" w:hAnsi="Times New Roman"/>
          <w:b w:val="1"/>
          <w:bCs w:val="1"/>
          <w:sz w:val="34"/>
          <w:szCs w:val="34"/>
          <w:rtl w:val="0"/>
        </w:rPr>
        <w:t xml:space="preserve">Заключение</w:t>
      </w:r>
    </w:p>
    <w:p w:rsidR="00000000" w:rsidDel="00000000" w:rsidP="00000000" w:rsidRDefault="00000000" w:rsidRPr="00000000" w14:paraId="00000044">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Нефтяной сектор обеспечивает высокий доход бюджета, но создаёт скрытую зависимость от внешних факторов. Ресурсно-ориентированная модель приносит быструю доходность, но высокая концентрация доходов делает бюджет уязвимым к экономическим шокам.</w:t>
      </w:r>
    </w:p>
    <w:p w:rsidR="00000000" w:rsidDel="00000000" w:rsidP="00000000" w:rsidRDefault="00000000" w:rsidRPr="00000000" w14:paraId="00000045">
      <w:pPr>
        <w:spacing w:after="24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Диверсификация доходов через полицентрическую структуру позволяет сохранять устойчивость бюджета, равномерно распределять ресурсы и обеспечивать долгосрочное развитие региона. Авторская методика с коэффициентом отраслевой концентрации предоставляет количественную основу для оценки рисков и прогнозирования последствий экономических изменений.</w:t>
      </w:r>
    </w:p>
    <w:p w:rsidR="00000000" w:rsidDel="00000000" w:rsidP="00000000" w:rsidRDefault="00000000" w:rsidRPr="00000000" w14:paraId="00000046">
      <w:pPr>
        <w:pStyle w:val="Heading2"/>
        <w:keepNext w:val="0"/>
        <w:keepLines w:val="0"/>
        <w:spacing w:after="80" w:lineRule="auto"/>
        <w:rPr>
          <w:rFonts w:ascii="Times New Roman" w:cs="Times New Roman" w:eastAsia="Times New Roman" w:hAnsi="Times New Roman"/>
          <w:b w:val="1"/>
          <w:bCs w:val="1"/>
          <w:sz w:val="34"/>
          <w:szCs w:val="34"/>
        </w:rPr>
      </w:pPr>
      <w:bookmarkStart w:colFirst="0" w:colLast="0" w:name="_heading=h.ywpbu0vd7e4x" w:id="14"/>
      <w:bookmarkEnd w:id="14"/>
      <w:r w:rsidDel="00000000" w:rsidR="00000000" w:rsidRPr="00000000">
        <w:rPr>
          <w:rtl w:val="0"/>
        </w:rPr>
      </w:r>
    </w:p>
    <w:p w:rsidR="00000000" w:rsidDel="00000000" w:rsidP="00000000" w:rsidRDefault="00000000" w:rsidRPr="00000000" w14:paraId="00000047">
      <w:pPr>
        <w:pStyle w:val="Heading2"/>
        <w:keepNext w:val="0"/>
        <w:keepLines w:val="0"/>
        <w:spacing w:after="80" w:lineRule="auto"/>
        <w:rPr>
          <w:rFonts w:ascii="Times New Roman" w:cs="Times New Roman" w:eastAsia="Times New Roman" w:hAnsi="Times New Roman"/>
          <w:b w:val="1"/>
          <w:bCs w:val="1"/>
          <w:sz w:val="34"/>
          <w:szCs w:val="34"/>
        </w:rPr>
      </w:pPr>
      <w:bookmarkStart w:colFirst="0" w:colLast="0" w:name="_heading=h.1pm6hyosdpcu" w:id="15"/>
      <w:bookmarkEnd w:id="15"/>
      <w:r w:rsidDel="00000000" w:rsidR="00000000" w:rsidRPr="00000000">
        <w:rPr>
          <w:rFonts w:ascii="Times New Roman" w:cs="Times New Roman" w:eastAsia="Times New Roman" w:hAnsi="Times New Roman"/>
          <w:b w:val="1"/>
          <w:bCs w:val="1"/>
          <w:sz w:val="34"/>
          <w:szCs w:val="34"/>
          <w:rtl w:val="0"/>
        </w:rPr>
        <w:t xml:space="preserve">Список литературы</w:t>
      </w:r>
    </w:p>
    <w:p w:rsidR="00000000" w:rsidDel="00000000" w:rsidP="00000000" w:rsidRDefault="00000000" w:rsidRPr="00000000" w14:paraId="00000048">
      <w:pPr>
        <w:numPr>
          <w:ilvl w:val="0"/>
          <w:numId w:val="4"/>
        </w:numPr>
        <w:spacing w:after="0" w:before="48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Федеральные статистические данные по доходам регионов Российской Федерации, 2025.</w:t>
        <w:br w:type="textWrapping"/>
      </w:r>
    </w:p>
    <w:p w:rsidR="00000000" w:rsidDel="00000000" w:rsidP="00000000" w:rsidRDefault="00000000" w:rsidRPr="00000000" w14:paraId="00000049">
      <w:pPr>
        <w:numPr>
          <w:ilvl w:val="0"/>
          <w:numId w:val="4"/>
        </w:numPr>
        <w:spacing w:after="0" w:before="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Материалы Министерства финансов РФ о региональных бюджетах, 2025.</w:t>
        <w:br w:type="textWrapping"/>
      </w:r>
    </w:p>
    <w:p w:rsidR="00000000" w:rsidDel="00000000" w:rsidP="00000000" w:rsidRDefault="00000000" w:rsidRPr="00000000" w14:paraId="0000004A">
      <w:pPr>
        <w:numPr>
          <w:ilvl w:val="0"/>
          <w:numId w:val="4"/>
        </w:numPr>
        <w:spacing w:after="0" w:before="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Социально-экономическое развитие Сахалинской области: аналитический обзор, 2024.</w:t>
        <w:br w:type="textWrapping"/>
      </w:r>
    </w:p>
    <w:p w:rsidR="00000000" w:rsidDel="00000000" w:rsidP="00000000" w:rsidRDefault="00000000" w:rsidRPr="00000000" w14:paraId="0000004B">
      <w:pPr>
        <w:numPr>
          <w:ilvl w:val="0"/>
          <w:numId w:val="4"/>
        </w:numPr>
        <w:spacing w:after="0" w:before="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Экономика и бюджетная устойчивость Владивостока: региональный обзор, 2024.</w:t>
        <w:br w:type="textWrapping"/>
      </w:r>
    </w:p>
    <w:p w:rsidR="00000000" w:rsidDel="00000000" w:rsidP="00000000" w:rsidRDefault="00000000" w:rsidRPr="00000000" w14:paraId="0000004C">
      <w:pPr>
        <w:numPr>
          <w:ilvl w:val="0"/>
          <w:numId w:val="4"/>
        </w:numPr>
        <w:spacing w:after="0" w:before="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Теория ресурсной зависимости региональных бюджетов, аналитический журнал «Региональная экономика», 2023.</w:t>
        <w:br w:type="textWrapping"/>
      </w:r>
    </w:p>
    <w:p w:rsidR="00000000" w:rsidDel="00000000" w:rsidP="00000000" w:rsidRDefault="00000000" w:rsidRPr="00000000" w14:paraId="0000004D">
      <w:pPr>
        <w:numPr>
          <w:ilvl w:val="0"/>
          <w:numId w:val="4"/>
        </w:numPr>
        <w:spacing w:after="0" w:before="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Практика диверсификации доходов регионов РФ, сборник исследований, 2023</w:t>
        <w:br w:type="textWrapping"/>
      </w:r>
    </w:p>
    <w:p w:rsidR="00000000" w:rsidDel="00000000" w:rsidP="00000000" w:rsidRDefault="00000000" w:rsidRPr="00000000" w14:paraId="0000004E">
      <w:pPr>
        <w:numPr>
          <w:ilvl w:val="0"/>
          <w:numId w:val="4"/>
        </w:numPr>
        <w:spacing w:after="0" w:before="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Методические рекомендации по финансовой устойчивости регионов, 2024.</w:t>
        <w:br w:type="textWrapping"/>
      </w:r>
    </w:p>
    <w:p w:rsidR="00000000" w:rsidDel="00000000" w:rsidP="00000000" w:rsidRDefault="00000000" w:rsidRPr="00000000" w14:paraId="0000004F">
      <w:pPr>
        <w:numPr>
          <w:ilvl w:val="0"/>
          <w:numId w:val="4"/>
        </w:numPr>
        <w:spacing w:after="480" w:before="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Аналитические материалы по моделированию экономических шоков в регионах России, 2023.</w:t>
        <w:br w:type="textWrapping"/>
      </w:r>
    </w:p>
    <w:p w:rsidR="00000000" w:rsidDel="00000000" w:rsidP="00000000" w:rsidRDefault="00000000" w:rsidRPr="00000000" w14:paraId="00000050">
      <w:pPr>
        <w:spacing w:after="240" w:befor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8"/>
          <w:szCs w:val="28"/>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ydina2007@mail.ru" TargetMode="External"/><Relationship Id="rId8" Type="http://schemas.openxmlformats.org/officeDocument/2006/relationships/hyperlink" Target="mailto:ydina200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YcLZgedKMQ+GvfCv9uRJTYAm0A==">CgMxLjAyDmgubGIzcTUxejVvYTU5Mg1oLmo3NGdhNW1kd3Y1Mg5oLnhxdjY0eTV1cjBqcTIOaC5hZHN0NWpqeHYzYmwyDmgubmpwemo4d29oM2UzMg5oLmp2cXdwdXF4dXdyYzIOaC5mcnhvZGF4enU0NzUyDmgudjJzYW9zMnozbXhvMg5oLmNzYnM1MjMxYWZybjIOaC5qOXVraTVrYWU0NXMyDWgudXBlb2V2YnY1aWEyDmgubXA1dnRndm9rdjFmMg5oLnF4NTZqdDhqcXBsMTIOaC5rNHRoM2w1bG5obGwyDmgueXdwYnUwdmQ3ZTR4Mg5oLjFwbTZoeW9zZHBjdTgAciExd0ZaMG9UX2g2N2x5UjBGMW5FU21FWTgzMG5FWFpINE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