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046" w:rsidRDefault="00181046" w:rsidP="001166A9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Как повысить активность и интерес к математике у учащихся 5–6 классов?</w:t>
      </w:r>
    </w:p>
    <w:p w:rsidR="0092052B" w:rsidRDefault="0092052B" w:rsidP="001166A9">
      <w:pPr>
        <w:ind w:firstLine="426"/>
      </w:pP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Каждый педагог стремится к тому, чтобы его ученики успешно осваивали знания с энтузиазмом. Эта цель разделяется и родителями. Однако нередко приходится сталкиваться с ситуацией, когда у ребенка отсутствует мотивация к учебе, несмотря на очевидный потенциал. В таких случаях мы говорим о несформированной потребности в знаниях и угасании интереса к предмету.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Откуда берется потребность в знаниях? Как она зарождается и развивается? Какие педагогические подходы способствуют формированию у школьников желания учиться? Эти вопросы занимают умы многих специалистов в области образования и родителей.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Как опытный педагог, я знаю: без заинтересованности и активного отношения к процессу обучения добиться высоких результатов невозможно. Поэтому необходимо целенаправленно формировать и развивать интерес к познанию, начиная с ранних лет.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Важным аспектом современного образования является активизация познавательной деятельности учащихся. На современном этапе развития педагогической теории и практики это становится одной из ключевых задач, особенно в 5-6 классах, когда закладывается фундамент математического мышления и формируется отношение к предмету. Чтобы математика стала не просто совокупностью правил, а инструментом познания мира, важно применять разнообразные методики, вовлекающие детей в активную мыслительную и исследовательскую работу.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Актуальность данного вопроса подчеркивается Федеральным государственным образовательным стандартом, который ставит целью формирование инициативной, всесторонне развитой личности, готовой к непрерывному образованию и активной деятельности в динамично меняющемся мире. Учение является ведущим видом деятельности школьников, в процессе которого решаются задачи подготовки к жизни в современном обществе, труду и участию в научно-техническом прогрессе. Работа по активизации познавательной деятельности означает формирование позитивного отношения к учебе и развитие стремления к глубокому изучению предметов.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Психологические особенности детей этого возраста – природная любознательность, отзывчивость и открытость новому – создают благоприятную почву для развития познавательной активности.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Разработка эффективных обучающих средств тесно связана с научным, техническим и педагогическим прогрессом. Подготовка к познавательной деятельности является ключевым фактором развития личности, поскольку она снимает учебные нагрузки, предотвращает неуспеваемость и способствует сохранению здоровья.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Заинтересовать математикой — задача непростая. Многое зависит от формулировки вопросов и умения вовлечь всех учеников в обсуждение. Творческая активность и успех урока определяются методическими приемами учителя. Интерес к предмету формируется через самостоятельность, активность, исследовательскую деятельность, создание проблемных ситуаций, разнообразие методов, новизну материала и эмоциональную окраску урока.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Содержание школьного курса — определяющее условие для активизации познавательной деятельности. Отображение идей современной науки и ее приложений в курсе позволяет реализовать задачу развития гармоничной личности. Содержание школьного курса разделяется на теоретический (развитие абстрактного мышления), экспериментальный (формирование индуктивного и логического мышления) и практический (политехническое образование, развитие навыков).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Основными формами развития познавательных навыков являются групповая, индивидуальная и работа в малых группах. Групповая форма обеспечивает высокую активность благодаря общей цели и мотивации. Индивидуальная форма способствует внутреннему поиску. Работа в малых группах создает комфортную атмосферу, где мнения ценятся, а психологические барьеры исчезают.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 xml:space="preserve">Я хочу поделиться некоторыми из используемых мной приемов повышения эффективности обучения и активизации познавательной деятельности пятиклассников и шестиклассников. 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b/>
          <w:sz w:val="28"/>
          <w:szCs w:val="28"/>
          <w:lang w:eastAsia="ru-RU"/>
        </w:rPr>
        <w:t>Основные приемы активизации познавательной деятельности: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6A9">
        <w:rPr>
          <w:rFonts w:ascii="Times New Roman" w:hAnsi="Times New Roman" w:cs="Times New Roman"/>
          <w:sz w:val="28"/>
          <w:szCs w:val="28"/>
          <w:lang w:eastAsia="ru-RU"/>
        </w:rPr>
        <w:t>Создание проблемных ситуаций:</w:t>
      </w:r>
      <w:r w:rsidRPr="00181046">
        <w:rPr>
          <w:rFonts w:ascii="Times New Roman" w:hAnsi="Times New Roman" w:cs="Times New Roman"/>
          <w:sz w:val="28"/>
          <w:szCs w:val="28"/>
          <w:lang w:eastAsia="ru-RU"/>
        </w:rPr>
        <w:t xml:space="preserve"> Предложение задач, для решения которых у учеников еще нет готовых знаний, стимулирует самостоятельное мышление.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Использование занимательного и исторического материала: Математические фокусы, исторические факты и интересные задачи делают обучение живым и эмоциональным.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Практические и исследовательские работы: Задания, связанные с реальными объектами, позволяют учащимся самостоятельно «открывать» новые знания.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Игровые методы и дидактические игры: Игры, эстафеты и кроссворды развивают интерес, снимают напряжение и способствуют развитию самостоятельности и командной работы.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Использование опорных схем и карточек-информаторов: Совместное составление схем помогает структурировать материал и облегчает запоминание.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0E9C">
        <w:rPr>
          <w:rFonts w:ascii="Times New Roman" w:hAnsi="Times New Roman" w:cs="Times New Roman"/>
          <w:sz w:val="28"/>
          <w:szCs w:val="28"/>
          <w:lang w:eastAsia="ru-RU"/>
        </w:rPr>
        <w:t>Разнообразие форм работы:</w:t>
      </w:r>
      <w:r w:rsidRPr="00181046">
        <w:rPr>
          <w:rFonts w:ascii="Times New Roman" w:hAnsi="Times New Roman" w:cs="Times New Roman"/>
          <w:sz w:val="28"/>
          <w:szCs w:val="28"/>
          <w:lang w:eastAsia="ru-RU"/>
        </w:rPr>
        <w:t xml:space="preserve"> Чередование фронтальной, индивидуальной и групповой работы, </w:t>
      </w:r>
      <w:proofErr w:type="spellStart"/>
      <w:r w:rsidRPr="00181046">
        <w:rPr>
          <w:rFonts w:ascii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Pr="00181046">
        <w:rPr>
          <w:rFonts w:ascii="Times New Roman" w:hAnsi="Times New Roman" w:cs="Times New Roman"/>
          <w:sz w:val="28"/>
          <w:szCs w:val="28"/>
          <w:lang w:eastAsia="ru-RU"/>
        </w:rPr>
        <w:t xml:space="preserve"> задания учитыва</w:t>
      </w:r>
      <w:r w:rsidR="001166A9">
        <w:rPr>
          <w:rFonts w:ascii="Times New Roman" w:hAnsi="Times New Roman" w:cs="Times New Roman"/>
          <w:sz w:val="28"/>
          <w:szCs w:val="28"/>
          <w:lang w:eastAsia="ru-RU"/>
        </w:rPr>
        <w:t>ющие</w:t>
      </w:r>
      <w:r w:rsidRPr="00181046">
        <w:rPr>
          <w:rFonts w:ascii="Times New Roman" w:hAnsi="Times New Roman" w:cs="Times New Roman"/>
          <w:sz w:val="28"/>
          <w:szCs w:val="28"/>
          <w:lang w:eastAsia="ru-RU"/>
        </w:rPr>
        <w:t xml:space="preserve"> индивидуальные особенности учеников и поддержива</w:t>
      </w:r>
      <w:r w:rsidR="001166A9">
        <w:rPr>
          <w:rFonts w:ascii="Times New Roman" w:hAnsi="Times New Roman" w:cs="Times New Roman"/>
          <w:sz w:val="28"/>
          <w:szCs w:val="28"/>
          <w:lang w:eastAsia="ru-RU"/>
        </w:rPr>
        <w:t>ющие</w:t>
      </w:r>
      <w:r w:rsidRPr="00181046">
        <w:rPr>
          <w:rFonts w:ascii="Times New Roman" w:hAnsi="Times New Roman" w:cs="Times New Roman"/>
          <w:sz w:val="28"/>
          <w:szCs w:val="28"/>
          <w:lang w:eastAsia="ru-RU"/>
        </w:rPr>
        <w:t xml:space="preserve"> их активность.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046">
        <w:rPr>
          <w:rFonts w:ascii="Times New Roman" w:hAnsi="Times New Roman" w:cs="Times New Roman"/>
          <w:sz w:val="28"/>
          <w:szCs w:val="28"/>
          <w:lang w:eastAsia="ru-RU"/>
        </w:rPr>
        <w:t>В своей работе опираюсь на разработанную таблицу:</w:t>
      </w:r>
    </w:p>
    <w:tbl>
      <w:tblPr>
        <w:tblStyle w:val="a4"/>
        <w:tblW w:w="10485" w:type="dxa"/>
        <w:tblLook w:val="01E0" w:firstRow="1" w:lastRow="1" w:firstColumn="1" w:lastColumn="1" w:noHBand="0" w:noVBand="0"/>
      </w:tblPr>
      <w:tblGrid>
        <w:gridCol w:w="3183"/>
        <w:gridCol w:w="3616"/>
        <w:gridCol w:w="3686"/>
      </w:tblGrid>
      <w:tr w:rsidR="00181046" w:rsidRPr="00181046" w:rsidTr="005C679F">
        <w:trPr>
          <w:trHeight w:val="739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b/>
                <w:sz w:val="28"/>
                <w:szCs w:val="28"/>
              </w:rPr>
            </w:pPr>
            <w:r w:rsidRPr="00181046">
              <w:rPr>
                <w:b/>
                <w:sz w:val="28"/>
                <w:szCs w:val="28"/>
              </w:rPr>
              <w:t>Познавательный процесс и его свойства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b/>
                <w:sz w:val="28"/>
                <w:szCs w:val="28"/>
              </w:rPr>
            </w:pPr>
            <w:r w:rsidRPr="00181046">
              <w:rPr>
                <w:b/>
                <w:sz w:val="28"/>
                <w:szCs w:val="28"/>
              </w:rPr>
              <w:t>Внешние проявления познавательных свойств учащихся</w:t>
            </w:r>
          </w:p>
        </w:tc>
        <w:tc>
          <w:tcPr>
            <w:tcW w:w="3686" w:type="dxa"/>
          </w:tcPr>
          <w:p w:rsidR="00181046" w:rsidRPr="00181046" w:rsidRDefault="00181046" w:rsidP="001166A9">
            <w:pPr>
              <w:ind w:firstLine="426"/>
              <w:rPr>
                <w:b/>
                <w:sz w:val="28"/>
                <w:szCs w:val="28"/>
              </w:rPr>
            </w:pPr>
            <w:r w:rsidRPr="00181046">
              <w:rPr>
                <w:b/>
                <w:sz w:val="28"/>
                <w:szCs w:val="28"/>
              </w:rPr>
              <w:t>Приёмы и методы работы учителя</w:t>
            </w:r>
          </w:p>
        </w:tc>
      </w:tr>
      <w:tr w:rsidR="00181046" w:rsidRPr="00181046" w:rsidTr="005C679F">
        <w:trPr>
          <w:trHeight w:val="496"/>
        </w:trPr>
        <w:tc>
          <w:tcPr>
            <w:tcW w:w="10485" w:type="dxa"/>
            <w:gridSpan w:val="3"/>
          </w:tcPr>
          <w:p w:rsidR="00181046" w:rsidRPr="00703C70" w:rsidRDefault="00181046" w:rsidP="001166A9">
            <w:pPr>
              <w:ind w:firstLine="426"/>
              <w:jc w:val="center"/>
              <w:rPr>
                <w:i/>
                <w:sz w:val="28"/>
                <w:szCs w:val="28"/>
              </w:rPr>
            </w:pPr>
            <w:r w:rsidRPr="00703C70">
              <w:rPr>
                <w:i/>
                <w:sz w:val="28"/>
                <w:szCs w:val="28"/>
              </w:rPr>
              <w:t xml:space="preserve">Восприятие </w:t>
            </w:r>
          </w:p>
        </w:tc>
      </w:tr>
      <w:tr w:rsidR="00181046" w:rsidRPr="00181046" w:rsidTr="005C679F">
        <w:trPr>
          <w:trHeight w:val="496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 xml:space="preserve">Осмысление 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выделяет существенное, отвечает на поставленные вопросы.</w:t>
            </w:r>
          </w:p>
        </w:tc>
        <w:tc>
          <w:tcPr>
            <w:tcW w:w="3686" w:type="dxa"/>
            <w:vMerge w:val="restart"/>
            <w:vAlign w:val="center"/>
          </w:tcPr>
          <w:p w:rsidR="00181046" w:rsidRPr="00181046" w:rsidRDefault="00181046" w:rsidP="001166A9">
            <w:pPr>
              <w:ind w:firstLine="426"/>
              <w:jc w:val="center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Применяется наглядность, даются чёткие инструкции</w:t>
            </w:r>
          </w:p>
        </w:tc>
      </w:tr>
      <w:tr w:rsidR="00181046" w:rsidRPr="00181046" w:rsidTr="005C679F">
        <w:trPr>
          <w:trHeight w:val="284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 xml:space="preserve">Точность 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Ответы ученика точны.</w:t>
            </w:r>
          </w:p>
        </w:tc>
        <w:tc>
          <w:tcPr>
            <w:tcW w:w="3686" w:type="dxa"/>
            <w:vMerge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</w:p>
        </w:tc>
      </w:tr>
      <w:tr w:rsidR="00181046" w:rsidRPr="00181046" w:rsidTr="005C679F">
        <w:trPr>
          <w:trHeight w:val="359"/>
        </w:trPr>
        <w:tc>
          <w:tcPr>
            <w:tcW w:w="10485" w:type="dxa"/>
            <w:gridSpan w:val="3"/>
          </w:tcPr>
          <w:p w:rsidR="00181046" w:rsidRPr="00703C70" w:rsidRDefault="00181046" w:rsidP="001166A9">
            <w:pPr>
              <w:ind w:firstLine="426"/>
              <w:jc w:val="center"/>
              <w:rPr>
                <w:i/>
                <w:sz w:val="28"/>
                <w:szCs w:val="28"/>
              </w:rPr>
            </w:pPr>
            <w:r w:rsidRPr="00703C70">
              <w:rPr>
                <w:i/>
                <w:sz w:val="28"/>
                <w:szCs w:val="28"/>
              </w:rPr>
              <w:t xml:space="preserve">Мышление </w:t>
            </w:r>
          </w:p>
        </w:tc>
      </w:tr>
      <w:tr w:rsidR="00181046" w:rsidRPr="00181046" w:rsidTr="005C679F">
        <w:trPr>
          <w:trHeight w:val="608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 xml:space="preserve">Обобщенность 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способен улавливать общее в отдельных фактах, умеет выделить главное, придерживается темы рассуждений</w:t>
            </w:r>
          </w:p>
        </w:tc>
        <w:tc>
          <w:tcPr>
            <w:tcW w:w="3686" w:type="dxa"/>
            <w:vMerge w:val="restart"/>
            <w:vAlign w:val="center"/>
          </w:tcPr>
          <w:p w:rsidR="00181046" w:rsidRPr="00181046" w:rsidRDefault="00181046" w:rsidP="001166A9">
            <w:pPr>
              <w:ind w:firstLine="426"/>
              <w:jc w:val="center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Чёткая постановка вопросов, обучение приёмам мышления: анализу, синтезу, сравнению, обобщению, обеспечение самостоятельности мышления, организация самостоятельного поиска решения</w:t>
            </w:r>
          </w:p>
        </w:tc>
      </w:tr>
      <w:tr w:rsidR="00181046" w:rsidRPr="00181046" w:rsidTr="005C679F">
        <w:trPr>
          <w:trHeight w:val="1270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 xml:space="preserve">Логичность 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связывает отдельные части рассуждений, делает выводы</w:t>
            </w:r>
          </w:p>
        </w:tc>
        <w:tc>
          <w:tcPr>
            <w:tcW w:w="3686" w:type="dxa"/>
            <w:vMerge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</w:p>
        </w:tc>
      </w:tr>
      <w:tr w:rsidR="00181046" w:rsidRPr="00181046" w:rsidTr="005C679F">
        <w:trPr>
          <w:trHeight w:val="1270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lastRenderedPageBreak/>
              <w:t xml:space="preserve">Гибкость 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умеет подойти к одному и тому же материалу с разных сторон в зависимости от вопроса темы</w:t>
            </w:r>
          </w:p>
        </w:tc>
        <w:tc>
          <w:tcPr>
            <w:tcW w:w="3686" w:type="dxa"/>
            <w:vMerge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</w:p>
        </w:tc>
      </w:tr>
      <w:tr w:rsidR="00181046" w:rsidRPr="00181046" w:rsidTr="005C679F">
        <w:trPr>
          <w:trHeight w:val="495"/>
        </w:trPr>
        <w:tc>
          <w:tcPr>
            <w:tcW w:w="10485" w:type="dxa"/>
            <w:gridSpan w:val="3"/>
          </w:tcPr>
          <w:p w:rsidR="00181046" w:rsidRPr="00181046" w:rsidRDefault="00181046" w:rsidP="001166A9">
            <w:pPr>
              <w:ind w:firstLine="426"/>
              <w:jc w:val="center"/>
              <w:rPr>
                <w:i/>
                <w:sz w:val="28"/>
                <w:szCs w:val="28"/>
              </w:rPr>
            </w:pPr>
            <w:r w:rsidRPr="00181046">
              <w:rPr>
                <w:i/>
                <w:sz w:val="28"/>
                <w:szCs w:val="28"/>
              </w:rPr>
              <w:t>Вн</w:t>
            </w:r>
            <w:bookmarkStart w:id="0" w:name="_GoBack"/>
            <w:bookmarkEnd w:id="0"/>
            <w:r w:rsidRPr="00181046">
              <w:rPr>
                <w:i/>
                <w:sz w:val="28"/>
                <w:szCs w:val="28"/>
              </w:rPr>
              <w:t xml:space="preserve">имание </w:t>
            </w:r>
          </w:p>
        </w:tc>
      </w:tr>
      <w:tr w:rsidR="00181046" w:rsidRPr="00181046" w:rsidTr="005C679F">
        <w:trPr>
          <w:trHeight w:val="982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 xml:space="preserve">Сосредоточенность 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оказывается поглощенным деятельностью.</w:t>
            </w:r>
          </w:p>
        </w:tc>
        <w:tc>
          <w:tcPr>
            <w:tcW w:w="3686" w:type="dxa"/>
            <w:vMerge w:val="restart"/>
            <w:vAlign w:val="center"/>
          </w:tcPr>
          <w:p w:rsidR="00181046" w:rsidRPr="00181046" w:rsidRDefault="00181046" w:rsidP="001166A9">
            <w:pPr>
              <w:ind w:firstLine="426"/>
              <w:jc w:val="center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 xml:space="preserve"> Создание установки на внимание значимость материала. Четкая организация деятельности на ученика на уроке повышение её активности. Использование разнообразных методов работы.</w:t>
            </w:r>
          </w:p>
        </w:tc>
      </w:tr>
      <w:tr w:rsidR="00181046" w:rsidRPr="00181046" w:rsidTr="005C679F">
        <w:trPr>
          <w:trHeight w:val="995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 xml:space="preserve">Отвлекаемость 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занимается посторонними делами, отвечает в невпопад.</w:t>
            </w:r>
          </w:p>
        </w:tc>
        <w:tc>
          <w:tcPr>
            <w:tcW w:w="3686" w:type="dxa"/>
            <w:vMerge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</w:p>
        </w:tc>
      </w:tr>
      <w:tr w:rsidR="00181046" w:rsidRPr="00181046" w:rsidTr="005C679F">
        <w:trPr>
          <w:trHeight w:val="683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 xml:space="preserve">Устойчивость 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длительно работает над задачей.</w:t>
            </w:r>
          </w:p>
        </w:tc>
        <w:tc>
          <w:tcPr>
            <w:tcW w:w="3686" w:type="dxa"/>
            <w:vMerge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</w:p>
        </w:tc>
      </w:tr>
      <w:tr w:rsidR="00181046" w:rsidRPr="00181046" w:rsidTr="005C679F">
        <w:trPr>
          <w:trHeight w:val="1270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Распределение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выполняет свою роботу и следит за её выполнением у товарища у доски.</w:t>
            </w:r>
          </w:p>
        </w:tc>
        <w:tc>
          <w:tcPr>
            <w:tcW w:w="3686" w:type="dxa"/>
            <w:vMerge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</w:p>
        </w:tc>
      </w:tr>
      <w:tr w:rsidR="00181046" w:rsidRPr="00181046" w:rsidTr="005C679F">
        <w:trPr>
          <w:trHeight w:val="967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 xml:space="preserve">Переключение 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быстро переходит от одного дела к другому.</w:t>
            </w:r>
          </w:p>
        </w:tc>
        <w:tc>
          <w:tcPr>
            <w:tcW w:w="3686" w:type="dxa"/>
            <w:vMerge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</w:p>
        </w:tc>
      </w:tr>
      <w:tr w:rsidR="00181046" w:rsidRPr="00181046" w:rsidTr="005C679F">
        <w:trPr>
          <w:trHeight w:val="533"/>
        </w:trPr>
        <w:tc>
          <w:tcPr>
            <w:tcW w:w="10485" w:type="dxa"/>
            <w:gridSpan w:val="3"/>
          </w:tcPr>
          <w:p w:rsidR="00181046" w:rsidRPr="00181046" w:rsidRDefault="00181046" w:rsidP="001166A9">
            <w:pPr>
              <w:ind w:firstLine="426"/>
              <w:jc w:val="center"/>
              <w:rPr>
                <w:i/>
                <w:sz w:val="28"/>
                <w:szCs w:val="28"/>
              </w:rPr>
            </w:pPr>
            <w:r w:rsidRPr="00181046">
              <w:rPr>
                <w:i/>
                <w:sz w:val="28"/>
                <w:szCs w:val="28"/>
              </w:rPr>
              <w:t xml:space="preserve">Память </w:t>
            </w:r>
          </w:p>
        </w:tc>
      </w:tr>
      <w:tr w:rsidR="00181046" w:rsidRPr="00181046" w:rsidTr="005C679F">
        <w:trPr>
          <w:trHeight w:val="697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Произвольное запоминание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понимает цель запоминания</w:t>
            </w:r>
          </w:p>
        </w:tc>
        <w:tc>
          <w:tcPr>
            <w:tcW w:w="3686" w:type="dxa"/>
            <w:vMerge w:val="restart"/>
            <w:vAlign w:val="center"/>
          </w:tcPr>
          <w:p w:rsidR="00181046" w:rsidRPr="00181046" w:rsidRDefault="00181046" w:rsidP="001166A9">
            <w:pPr>
              <w:ind w:firstLine="426"/>
              <w:jc w:val="center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Преподавание учебного материала ведётся образно эмоционально жизненно логично с выделением главной мыслей  организацией повторения изученного материала.</w:t>
            </w:r>
          </w:p>
        </w:tc>
      </w:tr>
      <w:tr w:rsidR="00181046" w:rsidRPr="00181046" w:rsidTr="005C679F">
        <w:trPr>
          <w:trHeight w:val="707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Непроизвольное запоминание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не задумывается о цели запоминания</w:t>
            </w:r>
          </w:p>
        </w:tc>
        <w:tc>
          <w:tcPr>
            <w:tcW w:w="3686" w:type="dxa"/>
            <w:vMerge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</w:p>
        </w:tc>
      </w:tr>
      <w:tr w:rsidR="00181046" w:rsidRPr="00181046" w:rsidTr="005C679F">
        <w:trPr>
          <w:trHeight w:val="986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 xml:space="preserve">Осмысление 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устанавливает внутренние смысловые связи</w:t>
            </w:r>
          </w:p>
        </w:tc>
        <w:tc>
          <w:tcPr>
            <w:tcW w:w="3686" w:type="dxa"/>
            <w:vMerge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</w:p>
        </w:tc>
      </w:tr>
      <w:tr w:rsidR="00181046" w:rsidRPr="00181046" w:rsidTr="005C679F">
        <w:trPr>
          <w:trHeight w:val="1270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Осмысленное воспроизведение материала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своими словами воспроизводит учебный материал со своими примерами</w:t>
            </w:r>
          </w:p>
        </w:tc>
        <w:tc>
          <w:tcPr>
            <w:tcW w:w="3686" w:type="dxa"/>
            <w:vMerge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</w:p>
        </w:tc>
      </w:tr>
      <w:tr w:rsidR="00181046" w:rsidRPr="00181046" w:rsidTr="005C679F">
        <w:trPr>
          <w:trHeight w:val="401"/>
        </w:trPr>
        <w:tc>
          <w:tcPr>
            <w:tcW w:w="3183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 xml:space="preserve">Механическая </w:t>
            </w:r>
          </w:p>
        </w:tc>
        <w:tc>
          <w:tcPr>
            <w:tcW w:w="3616" w:type="dxa"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  <w:r w:rsidRPr="00181046">
              <w:rPr>
                <w:sz w:val="28"/>
                <w:szCs w:val="28"/>
              </w:rPr>
              <w:t>Ученик устанавливает внешние связи</w:t>
            </w:r>
          </w:p>
        </w:tc>
        <w:tc>
          <w:tcPr>
            <w:tcW w:w="3686" w:type="dxa"/>
            <w:vMerge/>
          </w:tcPr>
          <w:p w:rsidR="00181046" w:rsidRPr="00181046" w:rsidRDefault="00181046" w:rsidP="001166A9">
            <w:pPr>
              <w:ind w:firstLine="426"/>
              <w:rPr>
                <w:sz w:val="28"/>
                <w:szCs w:val="28"/>
              </w:rPr>
            </w:pPr>
          </w:p>
        </w:tc>
      </w:tr>
    </w:tbl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1046">
        <w:rPr>
          <w:rFonts w:ascii="Times New Roman" w:hAnsi="Times New Roman" w:cs="Times New Roman"/>
          <w:sz w:val="28"/>
          <w:szCs w:val="28"/>
        </w:rPr>
        <w:t>Считаю важным уделять особое внимание индивидуальным особенностям каждого ученика. Одни дети лучше усваивают материал через визуальные образы, другие — через слуховое восприятие, а третьи — через практическую деятельность. Анализ причин неуспеваемости и творческих затруднений, а также наблюдение за индивидуальными успехами позволят учителю подобрать наиболее эффективные методы и приемы. Дифференцированный подход к обучению, когда задания соответствуют уровню подготовки и возможностям каждого ученика, стимулирует их мотивацию, предотвращает разочарование и способствует ощущению успеха.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1046">
        <w:rPr>
          <w:rFonts w:ascii="Times New Roman" w:hAnsi="Times New Roman" w:cs="Times New Roman"/>
          <w:sz w:val="28"/>
          <w:szCs w:val="28"/>
        </w:rPr>
        <w:lastRenderedPageBreak/>
        <w:t>Не стоит забывать о роли учителя как проводника в мире математики. Эмоциональная подача материала, примеры из жизни, использование актуальных для школьников тем и ситуаций делают абстрактные понятия более понятными и интересными. Установка на сотрудничество, создание атмосферы доверия и поддержки, где каждый ученик чувствует себя комфортно, а ошибки рассматриваются как часть учебного процесса, помогают преодолеть страх перед предметом. Важно, чтобы учитель сам горел интересом к математике, тогда эта искра обязательно передастся и ученикам.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1046">
        <w:rPr>
          <w:rFonts w:ascii="Times New Roman" w:hAnsi="Times New Roman" w:cs="Times New Roman"/>
          <w:sz w:val="28"/>
          <w:szCs w:val="28"/>
        </w:rPr>
        <w:t>Внедрение современных технологий в образовательный процесс также открывает новые возможности для повышения вовлеченности. Интерактивные доски, образовательные онлайн-платформы, создание цифровых уроков и использование математического программного обеспечения позволяют сделать уроки более динамичными и наглядными. Виртуальные лаборатории, моделирование, интерактивные задачи и игры могут значительно повысить интерес к предмету, особенно для тех, кто привык к цифровой среде.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1046">
        <w:rPr>
          <w:rFonts w:ascii="Times New Roman" w:hAnsi="Times New Roman" w:cs="Times New Roman"/>
          <w:sz w:val="28"/>
          <w:szCs w:val="28"/>
        </w:rPr>
        <w:t>Считаю, что системное применение перечисленных методов и приемов, их сочетание и адаптация к конкретному классу и ученикам, являются ключом к успешному формированию устойчивого интереса к математике. Когда ученики видят связь между изучаемым материалом и реальной жизнью, когда они чувствуют свою способность решать интересные задачи и «открывать» новое, тогда и происходит настоящее погружение в предмет. А это, в свою очередь, закладывает основу для дальнейшего успешного обучения и развития личности.</w:t>
      </w:r>
    </w:p>
    <w:p w:rsidR="00181046" w:rsidRPr="00181046" w:rsidRDefault="00181046" w:rsidP="001166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1046">
        <w:rPr>
          <w:rFonts w:ascii="Times New Roman" w:hAnsi="Times New Roman" w:cs="Times New Roman"/>
          <w:sz w:val="28"/>
          <w:szCs w:val="28"/>
        </w:rPr>
        <w:t>Таким образом, повышение вовлеченности учащихся на уроках математики в 5-6 классах — это комплексная задача, требующая от педагога не только глубоких знаний предмета, но и владения разнообразными методиками, понимания психологии детей, а также творческого подхода к организации учебного процесса. Целенаправленная работа в этом направлении позволит не просто научить детей решать задачи, но и привить им любовь к познанию, сформировать активную жизненную позицию и подготовить к вызовам современного мира.</w:t>
      </w:r>
    </w:p>
    <w:p w:rsidR="00181046" w:rsidRPr="00181046" w:rsidRDefault="00181046" w:rsidP="001166A9">
      <w:pPr>
        <w:spacing w:after="200" w:line="276" w:lineRule="auto"/>
        <w:ind w:firstLine="426"/>
      </w:pPr>
    </w:p>
    <w:p w:rsidR="00181046" w:rsidRDefault="00181046" w:rsidP="001166A9">
      <w:pPr>
        <w:ind w:firstLine="426"/>
      </w:pPr>
    </w:p>
    <w:sectPr w:rsidR="00181046" w:rsidSect="001810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F3C"/>
    <w:rsid w:val="00097F3C"/>
    <w:rsid w:val="001166A9"/>
    <w:rsid w:val="00120E9C"/>
    <w:rsid w:val="00181046"/>
    <w:rsid w:val="00703C70"/>
    <w:rsid w:val="0075795C"/>
    <w:rsid w:val="0092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B0422-D9B8-4A87-AB64-F6FA24388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1046"/>
    <w:pPr>
      <w:spacing w:after="0" w:line="240" w:lineRule="auto"/>
    </w:pPr>
  </w:style>
  <w:style w:type="table" w:styleId="a4">
    <w:name w:val="Table Grid"/>
    <w:basedOn w:val="a1"/>
    <w:rsid w:val="00181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5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1402</Words>
  <Characters>7997</Characters>
  <Application>Microsoft Office Word</Application>
  <DocSecurity>0</DocSecurity>
  <Lines>66</Lines>
  <Paragraphs>18</Paragraphs>
  <ScaleCrop>false</ScaleCrop>
  <Company/>
  <LinksUpToDate>false</LinksUpToDate>
  <CharactersWithSpaces>9381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8</cp:revision>
  <dcterms:created xsi:type="dcterms:W3CDTF">2026-03-23T05:02:00Z</dcterms:created>
  <dcterms:modified xsi:type="dcterms:W3CDTF">2026-03-23T05:40:00Z</dcterms:modified>
</cp:coreProperties>
</file>