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7266B" w:rsidRPr="0097266B" w:rsidRDefault="0097266B" w:rsidP="0097266B">
      <w:pPr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ФОРМИРОВАНИЕ СОЦИАЛЬНО-БЫТОВЫХ НАВЫКОВ У СТАРШИХ ДОШКОЛЬНИКОВ ЧЕРЕЗ ПРОЕКТНУЮ ДЕЯТЕЛЬНОСТЬ «ПРОФЕССИЯ — ПОКУПАТЕЛЬ»</w:t>
      </w:r>
    </w:p>
    <w:p w:rsidR="0097266B" w:rsidRPr="0097266B" w:rsidRDefault="0097266B" w:rsidP="009726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i/>
          <w:iCs/>
          <w:sz w:val="28"/>
          <w:szCs w:val="28"/>
        </w:rPr>
        <w:t xml:space="preserve">Автор: </w:t>
      </w:r>
      <w:r w:rsidRPr="0097266B">
        <w:rPr>
          <w:rFonts w:ascii="Times New Roman" w:hAnsi="Times New Roman" w:cs="Times New Roman"/>
          <w:i/>
          <w:iCs/>
          <w:sz w:val="28"/>
          <w:szCs w:val="28"/>
        </w:rPr>
        <w:t xml:space="preserve">Бурмистрова Татьяна Валериевна, </w:t>
      </w:r>
      <w:r w:rsidRPr="0097266B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97266B">
        <w:rPr>
          <w:rFonts w:ascii="Times New Roman" w:hAnsi="Times New Roman" w:cs="Times New Roman"/>
          <w:i/>
          <w:iCs/>
          <w:sz w:val="28"/>
          <w:szCs w:val="28"/>
        </w:rPr>
        <w:t xml:space="preserve">старший воспитатель МАДОУ «Детский сад № 385» </w:t>
      </w:r>
      <w:proofErr w:type="spellStart"/>
      <w:r w:rsidRPr="0097266B">
        <w:rPr>
          <w:rFonts w:ascii="Times New Roman" w:hAnsi="Times New Roman" w:cs="Times New Roman"/>
          <w:i/>
          <w:iCs/>
          <w:sz w:val="28"/>
          <w:szCs w:val="28"/>
        </w:rPr>
        <w:t>г.о</w:t>
      </w:r>
      <w:proofErr w:type="spellEnd"/>
      <w:r w:rsidRPr="0097266B">
        <w:rPr>
          <w:rFonts w:ascii="Times New Roman" w:hAnsi="Times New Roman" w:cs="Times New Roman"/>
          <w:i/>
          <w:iCs/>
          <w:sz w:val="28"/>
          <w:szCs w:val="28"/>
        </w:rPr>
        <w:t>. Самара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В современном дошкольном образовании особое значение приобретает формирование у детей не только знаний о здоровом образе жизни, но и практических навыков, необходимых в повседневной жизни. Одной из эффективных форм работы в этом направлении стала реализация долгосрочного проекта «Профессия — покупатель», разработанного педагогами нашего учреждения в рамках программы «Разговор о правильном питании».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Проект ориентирован на детей подготовительной к школе группы (6–7 лет) и нацелен на формирование осознанного отношения к выбору продуктов, развитие основ финансовой, читательской и естественнонаучной грамотности в естественной для дошкольников игровой форме. Системообразующим элементом проекта выступает сюжетно-ролевая игра «Супермаркет», которая превращает групповое пространство в действующую модель реального мира, где каждый ребенок может примерить на себя роль покупателя, продавца, кассира или контролера качества.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Методологическая основа и новизна подхода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Методика реализации проекта основана на принципе «от виртуального образа к реальному действию». Знакомство с темой начинается с использования ресурсов официального сайта программы</w:t>
      </w:r>
      <w:r w:rsidRPr="0097266B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gtFrame="_blank" w:history="1">
        <w:r w:rsidRPr="0097266B">
          <w:rPr>
            <w:rStyle w:val="a3"/>
            <w:rFonts w:ascii="Times New Roman" w:hAnsi="Times New Roman" w:cs="Times New Roman"/>
            <w:sz w:val="28"/>
            <w:szCs w:val="28"/>
          </w:rPr>
          <w:t>prav-pit.ru</w:t>
        </w:r>
      </w:hyperlink>
      <w:r w:rsidRPr="0097266B">
        <w:rPr>
          <w:rFonts w:ascii="Times New Roman" w:hAnsi="Times New Roman" w:cs="Times New Roman"/>
          <w:sz w:val="28"/>
          <w:szCs w:val="28"/>
        </w:rPr>
        <w:t>,</w:t>
      </w:r>
      <w:r w:rsidRPr="0097266B">
        <w:rPr>
          <w:rFonts w:ascii="Times New Roman" w:hAnsi="Times New Roman" w:cs="Times New Roman"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где дети в интерактивной форме получают первичные представления о продуктах, их пользе и правилах выбора. Далее полученные знания отрабатываются в безопасной игровой среде группы, а затем закрепляются в семейном контексте через систему совместных заданий «родитель — ребенок».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Новизна проекта заключается в синтезе трех образовательных плоскостей:</w:t>
      </w:r>
    </w:p>
    <w:p w:rsidR="0097266B" w:rsidRPr="0097266B" w:rsidRDefault="0097266B" w:rsidP="0097266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Виртуальной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— использование медиаресурсов и интерактивных заданий программы;</w:t>
      </w:r>
    </w:p>
    <w:p w:rsidR="0097266B" w:rsidRPr="0097266B" w:rsidRDefault="0097266B" w:rsidP="0097266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Игровой моделирующей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— создание и постоянное обогащение игровой зоны «Супермаркет»;</w:t>
      </w:r>
    </w:p>
    <w:p w:rsidR="0097266B" w:rsidRPr="0097266B" w:rsidRDefault="0097266B" w:rsidP="0097266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Реально-семейной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— вовлечение родителей в активную совместную деятельность (домашние эксперименты, сбор упаковок, участие в мастер-классах и итоговых мероприятиях).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Такая модель создает уникальную «педагогическую экосистему», в которой программа, педагоги, дети и родители работают на достижение общего результата.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Структура и этапы реализации проекта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lastRenderedPageBreak/>
        <w:t>Проект рассчитан на учебный год и включает четыре последовательных этапа:</w:t>
      </w:r>
    </w:p>
    <w:p w:rsidR="0097266B" w:rsidRPr="0097266B" w:rsidRDefault="0097266B" w:rsidP="0097266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Подготовительно-моделирующий этап (сентябрь–октябрь).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На этом этапе проводится стартовая диагностика (анкетирование родителей, рисунки детей), формируются базовые представления о продуктах, совместно с детьми и родителями создается игровая зона «Супермаркет».</w:t>
      </w:r>
    </w:p>
    <w:p w:rsidR="0097266B" w:rsidRPr="0097266B" w:rsidRDefault="0097266B" w:rsidP="0097266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Содержательно-</w:t>
      </w:r>
      <w:proofErr w:type="spellStart"/>
      <w:r w:rsidRPr="0097266B">
        <w:rPr>
          <w:rFonts w:ascii="Times New Roman" w:hAnsi="Times New Roman" w:cs="Times New Roman"/>
          <w:b/>
          <w:bCs/>
          <w:sz w:val="28"/>
          <w:szCs w:val="28"/>
        </w:rPr>
        <w:t>операциональный</w:t>
      </w:r>
      <w:proofErr w:type="spellEnd"/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этап (ноябрь–февраль).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Основное содержание этапа — освоение комплекса социально-бытовых и потребительских навыков: знакомство с профессиями магазина, составление списка покупок, понимание цены и ценника, проверка срока годности, правила поведения в магазине.</w:t>
      </w:r>
    </w:p>
    <w:p w:rsidR="0097266B" w:rsidRPr="0097266B" w:rsidRDefault="0097266B" w:rsidP="0097266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Проектно-рефлексивный этап (март–апрель).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Дети применяют полученные навыки в решении практических кейсов («Семейный бюджет», «Эко-выбор»), участвуют в кулинарных мастер-классах и квестах.</w:t>
      </w:r>
    </w:p>
    <w:p w:rsidR="0097266B" w:rsidRPr="0097266B" w:rsidRDefault="0097266B" w:rsidP="0097266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6B">
        <w:rPr>
          <w:rFonts w:ascii="Times New Roman" w:hAnsi="Times New Roman" w:cs="Times New Roman"/>
          <w:b/>
          <w:bCs/>
          <w:sz w:val="28"/>
          <w:szCs w:val="28"/>
        </w:rPr>
        <w:t>Итогово</w:t>
      </w:r>
      <w:proofErr w:type="spellEnd"/>
      <w:r w:rsidRPr="0097266B">
        <w:rPr>
          <w:rFonts w:ascii="Times New Roman" w:hAnsi="Times New Roman" w:cs="Times New Roman"/>
          <w:b/>
          <w:bCs/>
          <w:sz w:val="28"/>
          <w:szCs w:val="28"/>
        </w:rPr>
        <w:t>-презентационный этап (май).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Проводится открытое развлечение «Большие покупки», создается «Книга открытий юного покупателя», игровая зона передается младшим группам, что придает проекту социально значимую завершенность.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Интеграция задач функциональной грамотности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Важной особенностью проекта является интеграция в его содержание заданий, направленных на развитие различных видов функциональной грамотности:</w:t>
      </w:r>
    </w:p>
    <w:p w:rsidR="0097266B" w:rsidRPr="0097266B" w:rsidRDefault="0097266B" w:rsidP="0097266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Математическая грамотность: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расчет сдачи, взвешивание товара, соотнесение цены и количества монет.</w:t>
      </w:r>
    </w:p>
    <w:p w:rsidR="0097266B" w:rsidRPr="0097266B" w:rsidRDefault="0097266B" w:rsidP="0097266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Читательская грамотность: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«чтение» пиктографического списка покупок, поиск информации на упаковке (срок годности, вес, название продукта).</w:t>
      </w:r>
    </w:p>
    <w:p w:rsidR="0097266B" w:rsidRPr="0097266B" w:rsidRDefault="0097266B" w:rsidP="0097266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Финансовая грамотность: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планирование бюджета на покупку продуктов, различение понятий «цена» и «ценность».</w:t>
      </w:r>
    </w:p>
    <w:p w:rsidR="0097266B" w:rsidRPr="0097266B" w:rsidRDefault="0097266B" w:rsidP="0097266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Естественнонаучная грамотность и ЗОЖ: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исследование роли витаминов, влияние срока годности на качество продукта, экологическая сортировка упаковок.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Все задания реализуются в деятельностной форме — через практикумы, дидактические игры, моделирование проблемных ситуаций, что соответствует возрастным возможностям старших дошкольников.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Взаимодействие с семьей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Участие родителей в проекте выстроено как многоуровневое и является не дополнительным, а интегративным компонентом. Выделены следующие уровни вовлеченности:</w:t>
      </w:r>
    </w:p>
    <w:p w:rsidR="0097266B" w:rsidRPr="0097266B" w:rsidRDefault="0097266B" w:rsidP="0097266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Информационный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— регулярное информирование о целях и содержании этапов проекта.</w:t>
      </w:r>
    </w:p>
    <w:p w:rsidR="0097266B" w:rsidRPr="0097266B" w:rsidRDefault="0097266B" w:rsidP="0097266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Ресурсный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— сбор материалов для игровой зоны, изготовление атрибутов.</w:t>
      </w:r>
    </w:p>
    <w:p w:rsidR="0097266B" w:rsidRPr="0097266B" w:rsidRDefault="0097266B" w:rsidP="0097266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Содержательно-деятельностный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— выполнение совместных домашних заданий, участие родителей в качестве экспертов (рассказы о профессиях), помощь в проведении мастер-классов.</w:t>
      </w:r>
    </w:p>
    <w:p w:rsidR="0097266B" w:rsidRPr="0097266B" w:rsidRDefault="0097266B" w:rsidP="0097266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Рефлексивно-оценочный</w:t>
      </w:r>
      <w:r w:rsidRPr="00972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— участие в итоговых мероприятиях в роли гостей и членов жюри, заполнение опросов.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Такая система позволяет выстроить доверительные отношения между детским садом и семьей, повысить компетентность родителей в вопросах потребительского воспитания.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Результативность и практическая значимость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Реализация проекта показала высокую эффективность предложенной модели. У детей сформирован устойчивый алгоритм действий грамотного покупателя: от планирования покупок до осознанного выбора полезных продуктов. Воспитанники демонстрируют основы финансовой, математической и читательской грамотности в практическом контексте, умеют работать в команде, аргументировать свой выбор, соблюдать правила культурного поведения.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Родители стали активными партнерами образовательного процесса, обогатили семейные практики совместными «полезными» делами (совместное планирование покупок, приготовление блюд, экологические акции).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Разработанная методика может быть тиражирована в других дошкольных учреждениях. Ее ценность заключается в том, что программа «Разговор о правильном питании» реализуется не как отдельный курс, а как живой, увлекательный проект, органично вплетенный в жизнь детского сада и семьи, способствующий успешной социализации будущего школьника.</w:t>
      </w:r>
    </w:p>
    <w:p w:rsidR="0097266B" w:rsidRPr="0097266B" w:rsidRDefault="0097266B" w:rsidP="0097266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97266B" w:rsidRPr="0097266B" w:rsidRDefault="0097266B" w:rsidP="0097266B">
      <w:pPr>
        <w:numPr>
          <w:ilvl w:val="0"/>
          <w:numId w:val="5"/>
        </w:numPr>
        <w:tabs>
          <w:tab w:val="clear" w:pos="720"/>
          <w:tab w:val="num" w:pos="360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Безруких М. М. Разговор о здоровье и правильном питании : методическое пособие для учителя / М. М. Безруких, А. Г. Макеева, Т. А. Филиппова. – Москва : Просвещение, 2022. – 42 с.</w:t>
      </w:r>
    </w:p>
    <w:p w:rsidR="0097266B" w:rsidRPr="0097266B" w:rsidRDefault="0097266B" w:rsidP="0097266B">
      <w:pPr>
        <w:numPr>
          <w:ilvl w:val="0"/>
          <w:numId w:val="5"/>
        </w:numPr>
        <w:tabs>
          <w:tab w:val="clear" w:pos="720"/>
          <w:tab w:val="num" w:pos="360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Безруких М. М. Возрастная физиология : учебное пособие / М. М. Безруких, В. Д. Сонькин, Д. А. Фарбер. – Москва : Академия, 2002. – 414 с.</w:t>
      </w:r>
    </w:p>
    <w:p w:rsidR="0097266B" w:rsidRPr="0097266B" w:rsidRDefault="0097266B" w:rsidP="0097266B">
      <w:pPr>
        <w:numPr>
          <w:ilvl w:val="0"/>
          <w:numId w:val="5"/>
        </w:numPr>
        <w:tabs>
          <w:tab w:val="clear" w:pos="720"/>
          <w:tab w:val="num" w:pos="360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Народные игры в детском саду : методическое пособие / авт.-сост. Е. И. Касаткина, Г. В. Комина, З. И. Романова. – Вологда : Изд-во Вологодского института повышения квалификации педагогических кадров, 2001. – 77 с.</w:t>
      </w:r>
    </w:p>
    <w:p w:rsidR="0097266B" w:rsidRPr="0097266B" w:rsidRDefault="0097266B" w:rsidP="0097266B">
      <w:pPr>
        <w:numPr>
          <w:ilvl w:val="0"/>
          <w:numId w:val="5"/>
        </w:numPr>
        <w:tabs>
          <w:tab w:val="clear" w:pos="720"/>
          <w:tab w:val="num" w:pos="360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Этикет и сервировка праздничного стола / сост. Е. В. Руднева. – Москва : Эксмо, 2002. – 400 с.</w:t>
      </w:r>
    </w:p>
    <w:p w:rsidR="0097266B" w:rsidRPr="0097266B" w:rsidRDefault="0097266B" w:rsidP="0097266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7266B">
        <w:rPr>
          <w:rFonts w:ascii="Times New Roman" w:hAnsi="Times New Roman" w:cs="Times New Roman"/>
          <w:b/>
          <w:bCs/>
          <w:sz w:val="28"/>
          <w:szCs w:val="28"/>
        </w:rPr>
        <w:t>Электронные ресурсы</w:t>
      </w:r>
    </w:p>
    <w:p w:rsidR="00665847" w:rsidRPr="0097266B" w:rsidRDefault="0097266B" w:rsidP="001E4D11">
      <w:pPr>
        <w:numPr>
          <w:ilvl w:val="0"/>
          <w:numId w:val="5"/>
        </w:numPr>
        <w:tabs>
          <w:tab w:val="clear" w:pos="720"/>
          <w:tab w:val="num" w:pos="360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7266B">
        <w:rPr>
          <w:rFonts w:ascii="Times New Roman" w:hAnsi="Times New Roman" w:cs="Times New Roman"/>
          <w:sz w:val="28"/>
          <w:szCs w:val="28"/>
        </w:rPr>
        <w:t>Программа «Разговор о правильном питании» : официальный сайт. – URL:</w:t>
      </w:r>
      <w:r w:rsidRPr="0097266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Pr="0097266B">
          <w:rPr>
            <w:rStyle w:val="a3"/>
            <w:rFonts w:ascii="Times New Roman" w:hAnsi="Times New Roman" w:cs="Times New Roman"/>
            <w:sz w:val="28"/>
            <w:szCs w:val="28"/>
          </w:rPr>
          <w:t>http://www.prav-pi</w:t>
        </w:r>
        <w:r w:rsidRPr="0097266B">
          <w:rPr>
            <w:rStyle w:val="a3"/>
            <w:rFonts w:ascii="Times New Roman" w:hAnsi="Times New Roman" w:cs="Times New Roman"/>
            <w:sz w:val="28"/>
            <w:szCs w:val="28"/>
          </w:rPr>
          <w:t>t</w:t>
        </w:r>
        <w:r w:rsidRPr="0097266B">
          <w:rPr>
            <w:rStyle w:val="a3"/>
            <w:rFonts w:ascii="Times New Roman" w:hAnsi="Times New Roman" w:cs="Times New Roman"/>
            <w:sz w:val="28"/>
            <w:szCs w:val="28"/>
          </w:rPr>
          <w:t>.ru</w:t>
        </w:r>
      </w:hyperlink>
      <w:r w:rsidRPr="0097266B">
        <w:rPr>
          <w:rFonts w:ascii="Times New Roman" w:hAnsi="Times New Roman" w:cs="Times New Roman"/>
          <w:sz w:val="28"/>
          <w:szCs w:val="28"/>
        </w:rPr>
        <w:t xml:space="preserve"> </w:t>
      </w:r>
      <w:r w:rsidRPr="0097266B">
        <w:rPr>
          <w:rFonts w:ascii="Times New Roman" w:hAnsi="Times New Roman" w:cs="Times New Roman"/>
          <w:sz w:val="28"/>
          <w:szCs w:val="28"/>
        </w:rPr>
        <w:t>(дата обращения: 23.03.2026).</w:t>
      </w:r>
    </w:p>
    <w:sectPr w:rsidR="00665847" w:rsidRPr="00972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23935"/>
    <w:multiLevelType w:val="multilevel"/>
    <w:tmpl w:val="EEC247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12385"/>
    <w:multiLevelType w:val="multilevel"/>
    <w:tmpl w:val="EEC247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53356C"/>
    <w:multiLevelType w:val="multilevel"/>
    <w:tmpl w:val="5988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4D7812"/>
    <w:multiLevelType w:val="multilevel"/>
    <w:tmpl w:val="24763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B05074"/>
    <w:multiLevelType w:val="multilevel"/>
    <w:tmpl w:val="6C686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3C6487"/>
    <w:multiLevelType w:val="multilevel"/>
    <w:tmpl w:val="CF58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4921F5"/>
    <w:multiLevelType w:val="multilevel"/>
    <w:tmpl w:val="EEC247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481C5B"/>
    <w:multiLevelType w:val="multilevel"/>
    <w:tmpl w:val="3050E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1745987">
    <w:abstractNumId w:val="7"/>
  </w:num>
  <w:num w:numId="2" w16cid:durableId="1973292316">
    <w:abstractNumId w:val="3"/>
  </w:num>
  <w:num w:numId="3" w16cid:durableId="1701083806">
    <w:abstractNumId w:val="2"/>
  </w:num>
  <w:num w:numId="4" w16cid:durableId="835263782">
    <w:abstractNumId w:val="5"/>
  </w:num>
  <w:num w:numId="5" w16cid:durableId="1640843729">
    <w:abstractNumId w:val="4"/>
  </w:num>
  <w:num w:numId="6" w16cid:durableId="601574749">
    <w:abstractNumId w:val="0"/>
  </w:num>
  <w:num w:numId="7" w16cid:durableId="1599949461">
    <w:abstractNumId w:val="6"/>
  </w:num>
  <w:num w:numId="8" w16cid:durableId="1049840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66B"/>
    <w:rsid w:val="00665847"/>
    <w:rsid w:val="0097266B"/>
    <w:rsid w:val="009F5191"/>
    <w:rsid w:val="00E5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6196"/>
  <w15:chartTrackingRefBased/>
  <w15:docId w15:val="{C9805056-EA03-4762-BB61-7AAB186B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66B"/>
    <w:pPr>
      <w:spacing w:after="120"/>
      <w:ind w:firstLine="709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266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7266B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97266B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9726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8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av-pit.ru/" TargetMode="External"/><Relationship Id="rId5" Type="http://schemas.openxmlformats.org/officeDocument/2006/relationships/hyperlink" Target="https://prav-pi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1012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2026-03-23T08:31:00Z</dcterms:created>
  <dcterms:modified xsi:type="dcterms:W3CDTF">2026-03-23T08:42:00Z</dcterms:modified>
</cp:coreProperties>
</file>