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ascii="Times New Roman" w:hAnsi="Times New Roman" w:cs="Times New Roman"/>
          <w:b/>
          <w:bCs/>
          <w:i/>
          <w:sz w:val="24"/>
          <w:szCs w:val="24"/>
          <w:highlight w:val="none"/>
        </w:rPr>
      </w:pPr>
      <w:r>
        <w:rPr>
          <w:rFonts w:ascii="Times New Roman" w:hAnsi="Times New Roman" w:cs="Times New Roman"/>
          <w:b/>
          <w:bCs/>
          <w:i/>
          <w:iCs/>
          <w:sz w:val="24"/>
          <w:szCs w:val="24"/>
        </w:rPr>
        <w:t xml:space="preserve">Экономическая эффективность Системы быстрых платежей в России.</w:t>
      </w:r>
      <w:r>
        <w:rPr>
          <w:rFonts w:ascii="Times New Roman" w:hAnsi="Times New Roman" w:cs="Times New Roman"/>
          <w:b/>
          <w:bCs/>
          <w:i/>
          <w:iCs/>
          <w:sz w:val="24"/>
          <w:szCs w:val="24"/>
        </w:rPr>
      </w:r>
      <w:r/>
    </w:p>
    <w:p>
      <w:pPr>
        <w:pStyle w:val="816"/>
        <w:contextualSpacing/>
        <w:ind w:left="2832" w:firstLine="709"/>
        <w:jc w:val="right"/>
        <w:spacing w:before="0" w:beforeAutospacing="0" w:after="0" w:afterAutospacing="0" w:line="240" w:lineRule="auto"/>
        <w:rPr>
          <w:rFonts w:ascii="Times New Roman" w:hAnsi="Times New Roman" w:cs="Times New Roman"/>
          <w:bCs/>
          <w:i/>
          <w:sz w:val="20"/>
          <w:szCs w:val="20"/>
        </w:rPr>
      </w:pPr>
      <w:r>
        <w:rPr>
          <w:rFonts w:ascii="Times New Roman" w:hAnsi="Times New Roman" w:eastAsia="Arial" w:cs="Times New Roman"/>
          <w:b/>
          <w:i/>
          <w:color w:val="000000"/>
          <w:sz w:val="20"/>
          <w:szCs w:val="20"/>
        </w:rPr>
        <w:t xml:space="preserve">Догадин Владислав </w:t>
      </w:r>
      <w:r>
        <w:rPr>
          <w:rFonts w:ascii="Times New Roman" w:hAnsi="Times New Roman" w:eastAsia="Arial" w:cs="Times New Roman"/>
          <w:b/>
          <w:i/>
          <w:color w:val="000000"/>
          <w:sz w:val="20"/>
          <w:szCs w:val="20"/>
        </w:rPr>
        <w:t xml:space="preserve">Дмитриевич</w:t>
      </w:r>
      <w:r>
        <w:rPr>
          <w:rFonts w:ascii="Times New Roman" w:hAnsi="Times New Roman" w:eastAsia="Arial" w:cs="Times New Roman"/>
          <w:b/>
          <w:i/>
          <w:color w:val="000000"/>
          <w:sz w:val="20"/>
          <w:szCs w:val="20"/>
        </w:rPr>
        <w:br/>
      </w:r>
      <w:r>
        <w:rPr>
          <w:rFonts w:ascii="Times New Roman" w:hAnsi="Times New Roman" w:cs="Times New Roman"/>
          <w:i/>
          <w:iCs/>
          <w:color w:val="000000"/>
          <w:sz w:val="20"/>
          <w:szCs w:val="20"/>
        </w:rPr>
        <w:t xml:space="preserve">студент 1 курса, Дальневосточный юридический институт (филиал) Университета Прокуратуры Российской Федерации, </w:t>
      </w:r>
      <w:r>
        <w:rPr>
          <w:rFonts w:ascii="Times New Roman" w:hAnsi="Times New Roman" w:cs="Times New Roman"/>
          <w:i/>
          <w:iCs/>
          <w:sz w:val="20"/>
          <w:szCs w:val="20"/>
        </w:rPr>
      </w:r>
      <w:r/>
    </w:p>
    <w:p>
      <w:pPr>
        <w:pStyle w:val="816"/>
        <w:contextualSpacing/>
        <w:ind w:left="2832" w:firstLine="709"/>
        <w:jc w:val="right"/>
        <w:spacing w:before="0" w:beforeAutospacing="0" w:after="0" w:afterAutospacing="0" w:line="240" w:lineRule="auto"/>
        <w:rPr>
          <w:rFonts w:ascii="Times New Roman" w:hAnsi="Times New Roman" w:cs="Times New Roman"/>
          <w:bCs/>
          <w:color w:val="000000"/>
          <w:sz w:val="20"/>
          <w:szCs w:val="20"/>
        </w:rPr>
      </w:pPr>
      <w:r>
        <w:rPr>
          <w:rFonts w:ascii="Times New Roman" w:hAnsi="Times New Roman" w:cs="Times New Roman"/>
          <w:i/>
          <w:iCs/>
          <w:color w:val="000000"/>
          <w:sz w:val="20"/>
          <w:szCs w:val="20"/>
        </w:rPr>
        <w:t xml:space="preserve">Россия, </w:t>
      </w:r>
      <w:r>
        <w:rPr>
          <w:rFonts w:ascii="Times New Roman" w:hAnsi="Times New Roman" w:cs="Times New Roman"/>
          <w:i/>
          <w:iCs/>
          <w:color w:val="000000"/>
          <w:sz w:val="20"/>
          <w:szCs w:val="20"/>
        </w:rPr>
        <w:t xml:space="preserve">г.Владивосток</w:t>
      </w:r>
      <w:r>
        <w:rPr>
          <w:rFonts w:ascii="Times New Roman" w:hAnsi="Times New Roman" w:cs="Times New Roman"/>
          <w:sz w:val="20"/>
          <w:szCs w:val="20"/>
        </w:rPr>
      </w:r>
      <w:r/>
    </w:p>
    <w:p>
      <w:pPr>
        <w:ind w:left="0" w:right="0" w:firstLine="0"/>
        <w:jc w:val="right"/>
        <w:spacing w:before="0" w:after="450" w:line="240" w:lineRule="auto"/>
        <w:shd w:val="clear" w:color="ffffff" w:fill="ffffff"/>
        <w:rPr>
          <w:highlight w:val="none"/>
        </w:rPr>
        <w:pBdr>
          <w:top w:val="none" w:color="000000" w:sz="4" w:space="0"/>
          <w:left w:val="none" w:color="000000" w:sz="4" w:space="0"/>
          <w:bottom w:val="none" w:color="000000" w:sz="4" w:space="0"/>
          <w:right w:val="none" w:color="000000" w:sz="4" w:space="0"/>
        </w:pBdr>
      </w:pPr>
      <w:r>
        <w:rPr>
          <w:rFonts w:ascii="Times New Roman" w:hAnsi="Times New Roman" w:eastAsia="Arial" w:cs="Times New Roman"/>
          <w:b w:val="0"/>
          <w:bCs w:val="0"/>
          <w:i/>
          <w:iCs/>
          <w:color w:val="313131"/>
          <w:sz w:val="20"/>
          <w:szCs w:val="20"/>
          <w:lang w:val="en-US"/>
        </w:rPr>
        <w:t xml:space="preserve">smirnovalvaro@gmail.com</w:t>
      </w:r>
      <w:r>
        <w:rPr>
          <w:rFonts w:ascii="Arial" w:hAnsi="Arial" w:eastAsia="Arial" w:cs="Arial"/>
          <w:i/>
          <w:color w:val="313131"/>
          <w:sz w:val="24"/>
        </w:rPr>
      </w:r>
      <w:r/>
    </w:p>
    <w:p>
      <w:pPr>
        <w:pStyle w:val="814"/>
        <w:ind w:left="0"/>
        <w:jc w:val="right"/>
        <w:spacing w:after="0" w:line="240" w:lineRule="auto"/>
        <w:rPr>
          <w:sz w:val="20"/>
          <w:szCs w:val="20"/>
        </w:rPr>
      </w:pPr>
      <w:r>
        <w:rPr>
          <w:rFonts w:ascii="Times New Roman" w:hAnsi="Times New Roman" w:eastAsia="Times New Roman"/>
          <w:b/>
          <w:bCs/>
          <w:i/>
          <w:color w:val="000000"/>
          <w:sz w:val="28"/>
          <w:szCs w:val="28"/>
          <w:lang w:val="en-US"/>
        </w:rPr>
        <w:t xml:space="preserve"> </w:t>
      </w:r>
      <w:r>
        <w:rPr>
          <w:rFonts w:ascii="Times New Roman" w:hAnsi="Times New Roman" w:eastAsia="Times New Roman"/>
          <w:b/>
          <w:bCs/>
          <w:i/>
          <w:color w:val="000000"/>
          <w:sz w:val="20"/>
          <w:szCs w:val="20"/>
          <w:lang w:eastAsia="ru-RU"/>
        </w:rPr>
        <w:t xml:space="preserve">Ерохин Алексей Константинович</w:t>
      </w:r>
      <w:r>
        <w:rPr>
          <w:sz w:val="20"/>
          <w:szCs w:val="20"/>
        </w:rPr>
      </w:r>
      <w:r/>
    </w:p>
    <w:p>
      <w:pPr>
        <w:pStyle w:val="816"/>
        <w:contextualSpacing/>
        <w:ind w:left="708"/>
        <w:jc w:val="right"/>
        <w:spacing w:before="0" w:beforeAutospacing="0" w:after="0" w:afterAutospacing="0" w:line="240" w:lineRule="auto"/>
        <w:rPr>
          <w:sz w:val="20"/>
          <w:szCs w:val="20"/>
        </w:rPr>
      </w:pPr>
      <w:r>
        <w:rPr>
          <w:i/>
          <w:iCs/>
          <w:color w:val="000000"/>
          <w:sz w:val="20"/>
          <w:szCs w:val="20"/>
        </w:rPr>
        <w:t xml:space="preserve">научный руководитель, канд. фил. наук, Дальневосточный юридический институт (филиал) Университета Прокуратуры Российской Федерации,</w:t>
      </w:r>
      <w:r>
        <w:rPr>
          <w:sz w:val="20"/>
          <w:szCs w:val="20"/>
        </w:rPr>
      </w:r>
      <w:r/>
    </w:p>
    <w:p>
      <w:pPr>
        <w:pStyle w:val="816"/>
        <w:contextualSpacing/>
        <w:ind w:left="708"/>
        <w:jc w:val="right"/>
        <w:spacing w:before="0" w:beforeAutospacing="0" w:after="0" w:afterAutospacing="0" w:line="240" w:lineRule="auto"/>
        <w:rPr>
          <w:rFonts w:ascii="Times New Roman" w:hAnsi="Times New Roman" w:eastAsia="Times New Roman"/>
          <w:b/>
          <w:bCs/>
          <w:color w:val="000000"/>
          <w:sz w:val="20"/>
          <w:szCs w:val="20"/>
        </w:rPr>
      </w:pPr>
      <w:r>
        <w:rPr>
          <w:i/>
          <w:iCs/>
          <w:color w:val="000000"/>
          <w:sz w:val="20"/>
          <w:szCs w:val="20"/>
        </w:rPr>
        <w:t xml:space="preserve">Россия, </w:t>
      </w:r>
      <w:r>
        <w:rPr>
          <w:i/>
          <w:iCs/>
          <w:color w:val="000000"/>
          <w:sz w:val="20"/>
          <w:szCs w:val="20"/>
        </w:rPr>
        <w:t xml:space="preserve">г.Владивосток</w:t>
      </w:r>
      <w:r>
        <w:rPr>
          <w:sz w:val="20"/>
          <w:szCs w:val="20"/>
        </w:rPr>
      </w:r>
      <w:r/>
    </w:p>
    <w:p>
      <w:pPr>
        <w:ind w:left="0" w:right="0" w:firstLine="0"/>
        <w:jc w:val="right"/>
        <w:spacing w:before="0" w:after="450" w:line="240" w:lineRule="auto"/>
        <w:shd w:val="clear" w:color="ffffff" w:fill="ffffff"/>
        <w:rPr>
          <w:rFonts w:ascii="Arial" w:hAnsi="Arial" w:eastAsia="Arial" w:cs="Arial"/>
          <w:sz w:val="24"/>
          <w:szCs w:val="24"/>
        </w:rPr>
        <w:pBdr>
          <w:top w:val="none" w:color="000000" w:sz="4" w:space="0"/>
          <w:left w:val="none" w:color="000000" w:sz="4" w:space="0"/>
          <w:bottom w:val="none" w:color="000000" w:sz="4" w:space="0"/>
          <w:right w:val="none" w:color="000000" w:sz="4" w:space="0"/>
        </w:pBdr>
      </w:pPr>
      <w:r>
        <w:rPr>
          <w:highlight w:val="none"/>
        </w:rPr>
      </w:r>
      <w:r>
        <w:rPr>
          <w:highlight w:val="none"/>
        </w:rPr>
      </w:r>
      <w:r/>
    </w:p>
    <w:p>
      <w:pPr>
        <w:ind w:left="0" w:right="0" w:firstLine="0"/>
        <w:jc w:val="right"/>
        <w:spacing w:before="0" w:after="0" w:line="240" w:lineRule="auto"/>
        <w:shd w:val="clear" w:color="ffffff" w:fill="ffffff"/>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r>
      <w:r>
        <w:rPr>
          <w:rFonts w:ascii="Times New Roman" w:hAnsi="Times New Roman" w:eastAsia="Arial" w:cs="Times New Roman"/>
          <w:b/>
          <w:bCs/>
          <w:i/>
          <w:iCs/>
          <w:color w:val="000000" w:themeColor="text1"/>
          <w:sz w:val="20"/>
          <w:szCs w:val="20"/>
          <w:highlight w:val="white"/>
        </w:rPr>
        <w:t xml:space="preserve">Dogadin Vladislav Dmitrievich</w:t>
      </w:r>
      <w:r>
        <w:rPr>
          <w:rFonts w:ascii="Arial" w:hAnsi="Arial" w:eastAsia="Arial" w:cs="Arial"/>
          <w:b/>
          <w:color w:val="000000"/>
          <w:sz w:val="24"/>
          <w:lang w:val="en-US"/>
        </w:rPr>
        <w:t xml:space="preserve">.</w:t>
      </w:r>
      <w:r>
        <w:rPr>
          <w:rFonts w:ascii="Arial" w:hAnsi="Arial" w:eastAsia="Arial" w:cs="Arial"/>
          <w:i/>
          <w:color w:val="313131"/>
          <w:sz w:val="24"/>
        </w:rPr>
        <w:br/>
      </w:r>
      <w:r>
        <w:rPr>
          <w:rFonts w:ascii="Times New Roman" w:hAnsi="Times New Roman" w:eastAsia="Arial" w:cs="Times New Roman"/>
          <w:color w:val="000000" w:themeColor="text1"/>
          <w:sz w:val="20"/>
          <w:szCs w:val="20"/>
          <w:highlight w:val="white"/>
        </w:rPr>
        <w:t xml:space="preserve">1</w:t>
      </w:r>
      <w:r>
        <w:rPr>
          <w:rFonts w:ascii="Times New Roman" w:hAnsi="Times New Roman" w:eastAsia="Arial" w:cs="Times New Roman"/>
          <w:color w:val="000000" w:themeColor="text1"/>
          <w:sz w:val="20"/>
          <w:szCs w:val="20"/>
          <w:highlight w:val="white"/>
        </w:rPr>
        <w:t xml:space="preserve">st year student, Far Eastern Law Institute (branch) of the University of the Prosecutor's Office of the Russian Federation,</w:t>
      </w:r>
      <w:r>
        <w:rPr>
          <w:rFonts w:ascii="Times New Roman" w:hAnsi="Times New Roman" w:cs="Times New Roman"/>
          <w:color w:val="000000" w:themeColor="text1"/>
          <w:sz w:val="20"/>
          <w:szCs w:val="20"/>
        </w:rPr>
      </w:r>
      <w:r/>
    </w:p>
    <w:p>
      <w:pPr>
        <w:ind w:left="0" w:right="0" w:firstLine="0"/>
        <w:jc w:val="right"/>
        <w:spacing w:before="0" w:after="0" w:line="240" w:lineRule="auto"/>
        <w:shd w:val="clear" w:color="ffffff" w:fill="ffffff"/>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Arial" w:cs="Times New Roman"/>
          <w:color w:val="000000" w:themeColor="text1"/>
          <w:sz w:val="20"/>
          <w:szCs w:val="20"/>
          <w:highlight w:val="white"/>
        </w:rPr>
        <w:t xml:space="preserve">Russia, Vladivostok</w:t>
      </w:r>
      <w:r>
        <w:rPr>
          <w:rFonts w:ascii="Times New Roman" w:hAnsi="Times New Roman" w:cs="Times New Roman"/>
          <w:color w:val="000000" w:themeColor="text1"/>
          <w:sz w:val="20"/>
          <w:szCs w:val="20"/>
        </w:rPr>
      </w:r>
      <w:r/>
    </w:p>
    <w:p>
      <w:pPr>
        <w:ind w:left="0" w:right="0" w:firstLine="0"/>
        <w:jc w:val="right"/>
        <w:spacing w:before="0" w:after="450" w:line="240" w:lineRule="auto"/>
        <w:shd w:val="clear" w:color="ffffff" w:fill="ffffff"/>
        <w:rPr>
          <w:rFonts w:ascii="Arial" w:hAnsi="Arial" w:eastAsia="Arial" w:cs="Arial"/>
          <w:color w:val="31313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Arial" w:cs="Times New Roman"/>
          <w:color w:val="000000" w:themeColor="text1"/>
          <w:sz w:val="20"/>
          <w:szCs w:val="20"/>
          <w:highlight w:val="white"/>
        </w:rPr>
        <w:t xml:space="preserve">smirnovalvaro@gmail.com</w:t>
      </w:r>
      <w:r>
        <w:rPr>
          <w:rFonts w:ascii="Arial" w:hAnsi="Arial" w:eastAsia="Arial" w:cs="Arial"/>
          <w:sz w:val="24"/>
          <w:szCs w:val="24"/>
        </w:rPr>
      </w:r>
      <w:r/>
    </w:p>
    <w:p>
      <w:pPr>
        <w:ind w:firstLine="720"/>
        <w:jc w:val="both"/>
        <w:spacing w:line="240" w:lineRule="auto"/>
        <w:shd w:val="clear" w:color="ffffff" w:themeColor="background1" w:fill="ffffff" w:themeFill="background1"/>
        <w:rPr>
          <w:sz w:val="20"/>
          <w:szCs w:val="20"/>
          <w:highlight w:val="none"/>
        </w:rPr>
      </w:pPr>
      <w:r>
        <w:rPr>
          <w:rFonts w:ascii="Times New Roman" w:hAnsi="Times New Roman" w:eastAsia="Arial" w:cs="Times New Roman"/>
          <w:b/>
          <w:bCs/>
          <w:i w:val="0"/>
          <w:iCs w:val="0"/>
          <w:color w:val="313131"/>
          <w:sz w:val="20"/>
          <w:szCs w:val="20"/>
        </w:rPr>
        <w:t xml:space="preserve">Аннотация.</w:t>
      </w:r>
      <w:r>
        <w:rPr>
          <w:rFonts w:ascii="Arial" w:hAnsi="Arial" w:eastAsia="Arial" w:cs="Arial"/>
          <w:color w:val="313131"/>
          <w:sz w:val="24"/>
        </w:rPr>
        <w:br/>
      </w:r>
      <w:r>
        <w:rPr>
          <w:rFonts w:ascii="Times New Roman" w:hAnsi="Times New Roman" w:eastAsia="Times New Roman" w:cs="Times New Roman"/>
          <w:sz w:val="20"/>
          <w:szCs w:val="20"/>
        </w:rPr>
        <w:t xml:space="preserve">В статье рассматривается Система быстрых платежей (СБП) — государственная инфраструктура мгновенных банковских переводов, запущенная Банком России в 2019 году. Автор объясняет, что такое СБП, как она работает и зачем была созд</w:t>
      </w:r>
      <w:r>
        <w:rPr>
          <w:rFonts w:ascii="Times New Roman" w:hAnsi="Times New Roman" w:eastAsia="Times New Roman" w:cs="Times New Roman"/>
          <w:sz w:val="20"/>
          <w:szCs w:val="20"/>
        </w:rPr>
        <w:t xml:space="preserve">ана. В работе анализируется, какую экономическую пользу система приносит обычным гражданам, предпринимателям и банкам: снижение стоимости переводов, уменьшение комиссий для торговли, ускорение поступления денег на счёт. Показано, как СБП влияет на конкурен</w:t>
      </w:r>
      <w:r>
        <w:rPr>
          <w:rFonts w:ascii="Times New Roman" w:hAnsi="Times New Roman" w:eastAsia="Times New Roman" w:cs="Times New Roman"/>
          <w:sz w:val="20"/>
          <w:szCs w:val="20"/>
        </w:rPr>
        <w:t xml:space="preserve">цию на рынке безналичных платежей. Рассмотрены проблемы и ограничения системы. Сделан вывод о том, что СБП является экономически эффективным проектом, который реально помогает людям и бизнесу экономить деньги и получать финансовые услуги быстрее и удобнее.</w:t>
      </w:r>
      <w:r>
        <w:rPr>
          <w:sz w:val="20"/>
          <w:szCs w:val="20"/>
        </w:rPr>
      </w:r>
      <w:r>
        <w:rPr>
          <w:sz w:val="20"/>
          <w:szCs w:val="20"/>
        </w:rPr>
      </w:r>
    </w:p>
    <w:p>
      <w:pPr>
        <w:ind w:firstLine="720"/>
        <w:jc w:val="both"/>
        <w:spacing w:line="240" w:lineRule="auto"/>
        <w:rPr>
          <w:rFonts w:ascii="Times New Roman" w:hAnsi="Times New Roman" w:cs="Times New Roman"/>
          <w:b/>
          <w:bCs/>
          <w:sz w:val="20"/>
          <w:szCs w:val="20"/>
          <w:highlight w:val="none"/>
          <w:lang w:val="en-US"/>
        </w:rPr>
      </w:pPr>
      <w:r>
        <w:rPr>
          <w:rFonts w:ascii="Times New Roman" w:hAnsi="Times New Roman" w:cs="Times New Roman"/>
          <w:b/>
          <w:bCs/>
          <w:sz w:val="20"/>
          <w:szCs w:val="20"/>
          <w:highlight w:val="none"/>
          <w:lang w:val="en-US"/>
        </w:rPr>
        <w:t xml:space="preserve">Annotation.</w:t>
      </w:r>
      <w:r>
        <w:rPr>
          <w:rFonts w:ascii="Times New Roman" w:hAnsi="Times New Roman" w:cs="Times New Roman"/>
          <w:b/>
          <w:bCs/>
          <w:sz w:val="20"/>
          <w:szCs w:val="20"/>
          <w:highlight w:val="none"/>
        </w:rPr>
      </w:r>
    </w:p>
    <w:p>
      <w:pPr>
        <w:ind w:firstLine="720"/>
        <w:jc w:val="both"/>
        <w:spacing w:line="240" w:lineRule="auto"/>
        <w:rPr>
          <w:rFonts w:ascii="Times New Roman" w:hAnsi="Times New Roman" w:cs="Times New Roman"/>
          <w:b w:val="0"/>
          <w:bCs w:val="0"/>
          <w:sz w:val="20"/>
          <w:szCs w:val="20"/>
          <w:highlight w:val="none"/>
          <w:lang w:val="en-US"/>
        </w:rPr>
      </w:pPr>
      <w:r>
        <w:rPr>
          <w:rFonts w:ascii="Times New Roman" w:hAnsi="Times New Roman" w:cs="Times New Roman"/>
          <w:b w:val="0"/>
          <w:bCs w:val="0"/>
          <w:sz w:val="20"/>
          <w:szCs w:val="20"/>
          <w:highlight w:val="none"/>
          <w:lang w:val="en-US"/>
        </w:rPr>
      </w:r>
      <w:r>
        <w:rPr>
          <w:rFonts w:ascii="Times New Roman" w:hAnsi="Times New Roman" w:cs="Times New Roman"/>
          <w:b w:val="0"/>
          <w:bCs w:val="0"/>
          <w:sz w:val="20"/>
          <w:szCs w:val="20"/>
          <w:highlight w:val="none"/>
          <w:lang w:val="en-US"/>
        </w:rPr>
        <w:t xml:space="preserve">The article examines the System of Rapid Payments (SRP), a government-owned infrastructure for instant bank transfers launched by the Bank of Russia in 2019. The author explains what the SRP is, how it works, and why it was created. The article analyzes the</w:t>
      </w:r>
      <w:r>
        <w:rPr>
          <w:rFonts w:ascii="Times New Roman" w:hAnsi="Times New Roman" w:cs="Times New Roman"/>
          <w:b w:val="0"/>
          <w:bCs w:val="0"/>
          <w:sz w:val="20"/>
          <w:szCs w:val="20"/>
          <w:highlight w:val="none"/>
          <w:lang w:val="en-US"/>
        </w:rPr>
        <w:t xml:space="preserve"> economic benefits that the system brings to ordinary citizens, entrepreneurs, and banks, such as reducing the cost of transfers, lowering fees for trade, and speeding up the arrival of money in accounts. The article also examines how the SRP affects compet</w:t>
      </w:r>
      <w:r>
        <w:rPr>
          <w:rFonts w:ascii="Times New Roman" w:hAnsi="Times New Roman" w:cs="Times New Roman"/>
          <w:b w:val="0"/>
          <w:bCs w:val="0"/>
          <w:sz w:val="20"/>
          <w:szCs w:val="20"/>
          <w:highlight w:val="none"/>
          <w:lang w:val="en-US"/>
        </w:rPr>
        <w:t xml:space="preserve">ition in the cashless payment market. The article also addresses the challenges and limitations of the system. It is concluded that the SBP is a cost-effective project that really helps people and businesses save money and receive financial services faster </w:t>
      </w:r>
      <w:r>
        <w:rPr>
          <w:rFonts w:ascii="Times New Roman" w:hAnsi="Times New Roman" w:cs="Times New Roman"/>
          <w:b w:val="0"/>
          <w:bCs w:val="0"/>
          <w:sz w:val="20"/>
          <w:szCs w:val="20"/>
          <w:highlight w:val="none"/>
          <w:lang w:val="en-US"/>
        </w:rPr>
        <w:t xml:space="preserve">and more conveniently.</w:t>
      </w:r>
      <w:r>
        <w:rPr>
          <w:rFonts w:ascii="Times New Roman" w:hAnsi="Times New Roman" w:cs="Times New Roman"/>
          <w:b w:val="0"/>
          <w:bCs w:val="0"/>
          <w:sz w:val="20"/>
          <w:szCs w:val="20"/>
          <w:highlight w:val="none"/>
          <w:lang w:val="en-US"/>
        </w:rPr>
      </w:r>
      <w:r>
        <w:rPr>
          <w:rFonts w:ascii="Times New Roman" w:hAnsi="Times New Roman" w:cs="Times New Roman"/>
          <w:b w:val="0"/>
          <w:bCs w:val="0"/>
          <w:sz w:val="20"/>
          <w:szCs w:val="20"/>
          <w:highlight w:val="none"/>
          <w:lang w:val="en-US"/>
        </w:rPr>
      </w:r>
    </w:p>
    <w:p>
      <w:pPr>
        <w:ind w:firstLine="720"/>
        <w:jc w:val="left"/>
        <w:spacing w:line="240" w:lineRule="auto"/>
        <w:rPr>
          <w:rFonts w:ascii="Times New Roman" w:hAnsi="Times New Roman" w:cs="Times New Roman"/>
          <w:b/>
          <w:bCs/>
          <w:sz w:val="20"/>
          <w:szCs w:val="20"/>
          <w:highlight w:val="none"/>
          <w:lang w:val="ru-RU"/>
        </w:rPr>
      </w:pPr>
      <w:r>
        <w:rPr>
          <w:rFonts w:ascii="Times New Roman" w:hAnsi="Times New Roman" w:cs="Times New Roman"/>
          <w:b/>
          <w:bCs/>
          <w:sz w:val="20"/>
          <w:szCs w:val="20"/>
          <w:highlight w:val="none"/>
          <w:lang w:val="ru-RU"/>
        </w:rPr>
        <w:t xml:space="preserve">Ключевые слова</w:t>
      </w:r>
      <w:r>
        <w:rPr>
          <w:rFonts w:ascii="Times New Roman" w:hAnsi="Times New Roman" w:eastAsia="Times New Roman" w:cs="Times New Roman"/>
          <w:sz w:val="20"/>
          <w:szCs w:val="20"/>
        </w:rPr>
        <w:t xml:space="preserve">: Система быстрых платежей, СБП, безналичные платежи, банковские переводы, эквайринг, Банк России, финансовые технологии, экономическая эффективность.</w:t>
      </w:r>
      <w:r/>
      <w:r>
        <w:rPr>
          <w:rFonts w:ascii="Times New Roman" w:hAnsi="Times New Roman" w:cs="Times New Roman"/>
          <w:b/>
          <w:bCs/>
          <w:sz w:val="20"/>
          <w:szCs w:val="20"/>
          <w:highlight w:val="none"/>
          <w:lang w:val="ru-RU"/>
        </w:rPr>
      </w:r>
    </w:p>
    <w:p>
      <w:pPr>
        <w:ind w:firstLine="720"/>
        <w:jc w:val="left"/>
        <w:spacing w:line="240" w:lineRule="auto"/>
        <w:rPr>
          <w:rFonts w:ascii="Times New Roman" w:hAnsi="Times New Roman" w:cs="Times New Roman"/>
          <w:b w:val="0"/>
          <w:bCs w:val="0"/>
          <w:sz w:val="20"/>
          <w:szCs w:val="20"/>
          <w:highlight w:val="none"/>
          <w:lang w:val="ru-RU"/>
        </w:rPr>
      </w:pPr>
      <w:r>
        <w:rPr>
          <w:rFonts w:ascii="Times New Roman" w:hAnsi="Times New Roman" w:cs="Times New Roman"/>
          <w:b/>
          <w:bCs/>
          <w:sz w:val="20"/>
          <w:szCs w:val="20"/>
          <w:highlight w:val="none"/>
          <w:lang w:val="en-US"/>
        </w:rPr>
        <w:t xml:space="preserve">Keywords</w:t>
      </w:r>
      <w:r>
        <w:rPr>
          <w:rFonts w:ascii="Times New Roman" w:hAnsi="Times New Roman" w:cs="Times New Roman"/>
          <w:b/>
          <w:bCs/>
          <w:sz w:val="20"/>
          <w:szCs w:val="20"/>
          <w:highlight w:val="none"/>
          <w:lang w:val="ru-RU"/>
        </w:rPr>
        <w:t xml:space="preserve">: </w:t>
      </w:r>
      <w:r>
        <w:rPr>
          <w:rFonts w:ascii="Times New Roman" w:hAnsi="Times New Roman" w:cs="Times New Roman"/>
          <w:b w:val="0"/>
          <w:bCs w:val="0"/>
          <w:sz w:val="20"/>
          <w:szCs w:val="20"/>
          <w:highlight w:val="none"/>
          <w:lang w:val="ru-RU"/>
        </w:rPr>
        <w:t xml:space="preserve">Quick Payment System, SBP, cashless payments, bank transfers, acquiring, Bank of Russia, financial technologies, and economic efficiency.</w:t>
      </w:r>
      <w:r>
        <w:rPr>
          <w:rFonts w:ascii="Times New Roman" w:hAnsi="Times New Roman" w:cs="Times New Roman"/>
          <w:b w:val="0"/>
          <w:bCs w:val="0"/>
          <w:sz w:val="20"/>
          <w:szCs w:val="20"/>
          <w:highlight w:val="none"/>
          <w:lang w:val="ru-RU"/>
        </w:rPr>
      </w:r>
      <w:r>
        <w:rPr>
          <w:rFonts w:ascii="Times New Roman" w:hAnsi="Times New Roman" w:cs="Times New Roman"/>
          <w:b w:val="0"/>
          <w:bCs w:val="0"/>
          <w:sz w:val="20"/>
          <w:szCs w:val="20"/>
          <w:highlight w:val="none"/>
        </w:rPr>
      </w:r>
    </w:p>
    <w:p>
      <w:pPr>
        <w:ind w:left="0" w:right="0" w:firstLine="720"/>
        <w:jc w:val="both"/>
        <w:spacing w:before="200" w:after="80" w:line="360" w:lineRule="auto"/>
        <w:rPr>
          <w:sz w:val="20"/>
          <w:szCs w:val="20"/>
        </w:rPr>
      </w:pPr>
      <w:r>
        <w:rPr>
          <w:rFonts w:ascii="Times New Roman" w:hAnsi="Times New Roman" w:eastAsia="Times New Roman" w:cs="Times New Roman"/>
          <w:b/>
          <w:bCs/>
          <w:sz w:val="20"/>
          <w:szCs w:val="20"/>
        </w:rPr>
        <w:t xml:space="preserve">Введение</w:t>
      </w:r>
      <w:r>
        <w:rPr>
          <w:sz w:val="20"/>
          <w:szCs w:val="20"/>
        </w:rPr>
        <w:t xml:space="preserve">.</w:t>
      </w:r>
      <w:r>
        <w:rPr>
          <w:sz w:val="20"/>
          <w:szCs w:val="20"/>
        </w:rPr>
      </w:r>
      <w:r>
        <w:rPr>
          <w:sz w:val="20"/>
          <w:szCs w:val="20"/>
        </w:rPr>
      </w:r>
      <w:r>
        <w:rPr>
          <w:rFonts w:ascii="Times New Roman" w:hAnsi="Times New Roman" w:eastAsia="Times New Roman" w:cs="Times New Roman"/>
          <w:sz w:val="20"/>
          <w:szCs w:val="20"/>
        </w:rPr>
        <w:t xml:space="preserve">Ещё несколько лет назад перевести деньги из одного банка в другой было непростой задачей. Нужно было знать номер счёта получателя, ждать несколько часов или даже дней, а банк при этом брал комиссию. Сейчас</w:t>
      </w:r>
      <w:r>
        <w:rPr>
          <w:rFonts w:ascii="Times New Roman" w:hAnsi="Times New Roman" w:eastAsia="Times New Roman" w:cs="Times New Roman"/>
          <w:sz w:val="20"/>
          <w:szCs w:val="20"/>
        </w:rPr>
        <w:t xml:space="preserve"> ситуация полностью изменилась: достаточно знать номер телефона человека, и деньги окажутся у него на счёте за несколько секунд — совершенно бесплатно. Это стало возможным благодаря Системе быстрых платежей, которую Банк России запустил в январе 2019 года.</w:t>
      </w:r>
      <w:r>
        <w:rPr>
          <w:sz w:val="20"/>
          <w:szCs w:val="20"/>
        </w:rPr>
      </w: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Сегодня СБП — это не просто удобный сервис. Это важный элемент финансовой системы страны, который меняет то, как люди и бизнес обращ</w:t>
      </w:r>
      <w:r>
        <w:rPr>
          <w:rFonts w:ascii="Times New Roman" w:hAnsi="Times New Roman" w:eastAsia="Times New Roman" w:cs="Times New Roman"/>
          <w:sz w:val="20"/>
          <w:szCs w:val="20"/>
        </w:rPr>
        <w:t xml:space="preserve">аются с деньгами. По данным Банка России, в 2023 году через систему было проведено почти девять миллиардов операций на общую сумму более 50 триллионов рублей. Это огромные цифры, которые говорят о том, что СБП стала по-настоящему массовым инструментом.</w:t>
      </w:r>
      <w:r>
        <w:rPr>
          <w:sz w:val="20"/>
          <w:szCs w:val="20"/>
        </w:rPr>
      </w:r>
      <w:r>
        <w:rPr>
          <w:sz w:val="20"/>
          <w:szCs w:val="20"/>
        </w:rPr>
      </w:r>
    </w:p>
    <w:p>
      <w:pPr>
        <w:ind w:firstLine="0"/>
        <w:jc w:val="both"/>
        <w:spacing w:line="36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Тема данной статьи актуальна, потому что понять экономический эффект от СБП важно как обычным людям — чтобы осознанн</w:t>
      </w:r>
      <w:r>
        <w:rPr>
          <w:rFonts w:ascii="Times New Roman" w:hAnsi="Times New Roman" w:eastAsia="Times New Roman" w:cs="Times New Roman"/>
          <w:sz w:val="20"/>
          <w:szCs w:val="20"/>
        </w:rPr>
        <w:t xml:space="preserve">о пользоваться системой, так и будущим специалистам в области экономики и финансов. Цель работы — разобраться, насколько Система быстрых платежей выгодна с экономической точки зрения: для граждан, для предпринимателей, для банков и для государства в целом.</w:t>
      </w:r>
      <w:r>
        <w:rPr>
          <w:sz w:val="20"/>
          <w:szCs w:val="20"/>
        </w:rPr>
      </w:r>
    </w:p>
    <w:p>
      <w:pPr>
        <w:ind w:firstLine="0"/>
        <w:jc w:val="both"/>
        <w:spacing w:line="360" w:lineRule="auto"/>
        <w:rPr>
          <w:rFonts w:ascii="Times New Roman" w:hAnsi="Times New Roman" w:eastAsia="Times New Roman" w:cs="Times New Roman"/>
          <w:b/>
          <w:bCs/>
          <w:sz w:val="20"/>
          <w:szCs w:val="20"/>
        </w:rPr>
      </w:pPr>
      <w:r>
        <w:rPr>
          <w:rFonts w:ascii="Times New Roman" w:hAnsi="Times New Roman" w:eastAsia="Times New Roman" w:cs="Times New Roman"/>
          <w:sz w:val="20"/>
          <w:szCs w:val="20"/>
        </w:rPr>
      </w:r>
      <w:r>
        <w:rPr>
          <w:rFonts w:ascii="Times New Roman" w:hAnsi="Times New Roman" w:eastAsia="Times New Roman" w:cs="Times New Roman"/>
          <w:b/>
          <w:bCs/>
          <w:sz w:val="20"/>
          <w:szCs w:val="20"/>
        </w:rPr>
        <w:t xml:space="preserve">1. Что такое Система быстрых платежей и как она устроена</w:t>
      </w:r>
      <w:r>
        <w:rPr>
          <w:sz w:val="20"/>
          <w:szCs w:val="20"/>
        </w:rPr>
      </w:r>
    </w:p>
    <w:p>
      <w:pPr>
        <w:ind w:firstLine="0"/>
        <w:jc w:val="both"/>
        <w:spacing w:line="360" w:lineRule="auto"/>
        <w:rPr>
          <w:sz w:val="20"/>
          <w:szCs w:val="20"/>
        </w:rPr>
      </w:pPr>
      <w:r>
        <w:rPr>
          <w:rFonts w:ascii="Times New Roman" w:hAnsi="Times New Roman" w:eastAsia="Times New Roman" w:cs="Times New Roman"/>
          <w:b/>
          <w:bCs/>
          <w:sz w:val="20"/>
          <w:szCs w:val="20"/>
        </w:rPr>
      </w:r>
      <w:r>
        <w:rPr>
          <w:rFonts w:ascii="Times New Roman" w:hAnsi="Times New Roman" w:eastAsia="Times New Roman" w:cs="Times New Roman"/>
          <w:sz w:val="20"/>
          <w:szCs w:val="20"/>
        </w:rPr>
        <w:t xml:space="preserve">Система быстрых платежей — это специальная платёжная инфраструктура, которая позволяет переводить деньги между счетами в разных банках мгновенно, то есть в течение неско</w:t>
      </w:r>
      <w:r>
        <w:rPr>
          <w:rFonts w:ascii="Times New Roman" w:hAnsi="Times New Roman" w:eastAsia="Times New Roman" w:cs="Times New Roman"/>
          <w:sz w:val="20"/>
          <w:szCs w:val="20"/>
        </w:rPr>
        <w:t xml:space="preserve">льких секунд. Система работает круглосуточно, семь дней в неделю, без выходных и праздников. </w:t>
      </w:r>
      <w:r>
        <w:rPr>
          <w:rFonts w:ascii="Times New Roman" w:hAnsi="Times New Roman" w:eastAsia="Times New Roman" w:cs="Times New Roman"/>
          <w:sz w:val="20"/>
          <w:szCs w:val="20"/>
        </w:rPr>
        <w:t xml:space="preserve">Это принципиальное отличие от обычных банковских переводов, которые обрабатываются только в рабочие часы и могут занимать от нескольких часов до двух рабочих дней. </w:t>
      </w:r>
      <w:r>
        <w:rPr>
          <w:rFonts w:ascii="Times New Roman" w:hAnsi="Times New Roman" w:eastAsia="Times New Roman" w:cs="Times New Roman"/>
          <w:sz w:val="20"/>
          <w:szCs w:val="20"/>
        </w:rPr>
        <w:t xml:space="preserve">Техничес</w:t>
      </w:r>
      <w:r>
        <w:rPr>
          <w:rFonts w:ascii="Times New Roman" w:hAnsi="Times New Roman" w:eastAsia="Times New Roman" w:cs="Times New Roman"/>
          <w:sz w:val="20"/>
          <w:szCs w:val="20"/>
        </w:rPr>
        <w:t xml:space="preserve">ким оператором системы выступает Национальная система платёжных карт (НСПК) — российская государственная компания, которая также обслуживает карты «Мир». Это важно: система находится под контролем государства и не зависит от иностранных платёжных сервисов. </w:t>
      </w:r>
      <w:r>
        <w:rPr>
          <w:rFonts w:ascii="Times New Roman" w:hAnsi="Times New Roman" w:eastAsia="Times New Roman" w:cs="Times New Roman"/>
          <w:sz w:val="20"/>
          <w:szCs w:val="20"/>
        </w:rPr>
        <w:t xml:space="preserve">Работает СБП очень просто. Чтобы перевести деньги другому человеку, не нужно знать номер его счёта или карты. Достаточно знать номер моб</w:t>
      </w:r>
      <w:r>
        <w:rPr>
          <w:rFonts w:ascii="Times New Roman" w:hAnsi="Times New Roman" w:eastAsia="Times New Roman" w:cs="Times New Roman"/>
          <w:sz w:val="20"/>
          <w:szCs w:val="20"/>
        </w:rPr>
        <w:t xml:space="preserve">ильного телефона получателя — при условии, что тот подключён к СБП в своём банке. Именно поэтому такие переводы называют переводами «по номеру телефона». Система сама определяет, в каком банке открыт счёт получателя, и мгновенно направляет туда деньги.</w:t>
      </w:r>
      <w:r>
        <w:rPr>
          <w:rFonts w:ascii="Times New Roman" w:hAnsi="Times New Roman" w:eastAsia="Times New Roman" w:cs="Times New Roman"/>
          <w:sz w:val="20"/>
          <w:szCs w:val="20"/>
        </w:rPr>
        <w:t xml:space="preserve"> Помимо переводов между людьми, СБП позволяет оплачивать покупки в магазинах и услуги. Для этого используется QR-код: покупатель сканирует его камерой смартфона, и деньги списываются с его счёта прямо </w:t>
      </w:r>
      <w:r>
        <w:rPr>
          <w:rFonts w:ascii="Times New Roman" w:hAnsi="Times New Roman" w:eastAsia="Times New Roman" w:cs="Times New Roman"/>
          <w:sz w:val="20"/>
          <w:szCs w:val="20"/>
        </w:rPr>
        <w:t xml:space="preserve">на расчётный счёт продавца. Такой способ оплаты называется C2B (от английского customer to business — «от покупателя к бизнесу»). Также существует функция B2C — выплаты от компаний физическим лицам, например возврат средств покупателю или выплата зарплаты.</w:t>
      </w:r>
      <w:r>
        <w:rPr>
          <w:rFonts w:ascii="Times New Roman" w:hAnsi="Times New Roman" w:eastAsia="Times New Roman" w:cs="Times New Roman"/>
          <w:sz w:val="20"/>
          <w:szCs w:val="20"/>
        </w:rPr>
        <w:t xml:space="preserve">К началу 2024 года к системе подключились более 230 банков и финансовых организаций России. Это означает, что практически любой гражданин, у которого есть счёт в российском банке, может пользоваться СБП.</w:t>
      </w:r>
      <w:r>
        <w:rPr>
          <w:sz w:val="20"/>
          <w:szCs w:val="20"/>
        </w:rPr>
      </w: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2. История создания СБП и причины её появления</w:t>
      </w:r>
      <w:r>
        <w:rPr>
          <w:sz w:val="20"/>
          <w:szCs w:val="20"/>
        </w:rPr>
      </w:r>
      <w:r>
        <w:rPr>
          <w:sz w:val="20"/>
          <w:szCs w:val="20"/>
        </w:rPr>
      </w:r>
    </w:p>
    <w:p>
      <w:pPr>
        <w:ind w:firstLine="0"/>
        <w:jc w:val="both"/>
        <w:spacing w:line="36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До запуска СБП рынок межбанковских переводов в России был неудобным и дорогостоящим. Переводы между разными банками требовали знания реквизитов счёта, занимали время и стоили денег: </w:t>
      </w:r>
      <w:r>
        <w:rPr>
          <w:rFonts w:ascii="Times New Roman" w:hAnsi="Times New Roman" w:eastAsia="Times New Roman" w:cs="Times New Roman"/>
          <w:sz w:val="20"/>
          <w:szCs w:val="20"/>
        </w:rPr>
        <w:t xml:space="preserve">комиссия обычно составляла от одного до трёх процентов от суммы перевода. Кроме того, рынок был сильно сосредоточен в руках нескольких крупных игроков — прежде всего Сбербанка, который имел наибольшую клиентскую базу и фактически устанавливал правила игры. </w:t>
      </w:r>
      <w:r>
        <w:rPr>
          <w:sz w:val="20"/>
          <w:szCs w:val="20"/>
        </w:rPr>
      </w:r>
      <w:r>
        <w:rPr>
          <w:sz w:val="20"/>
          <w:szCs w:val="20"/>
        </w:rPr>
      </w:r>
      <w:r>
        <w:rPr>
          <w:rFonts w:ascii="Times New Roman" w:hAnsi="Times New Roman" w:eastAsia="Times New Roman" w:cs="Times New Roman"/>
          <w:sz w:val="20"/>
          <w:szCs w:val="20"/>
        </w:rPr>
        <w:t xml:space="preserve">Банк России поставил перед собой задачу создать единую, независимую и доступную для всех платёжную инфраструктуру. Идея состояла в том, чтобы любой граждан</w:t>
      </w:r>
      <w:r>
        <w:rPr>
          <w:rFonts w:ascii="Times New Roman" w:hAnsi="Times New Roman" w:eastAsia="Times New Roman" w:cs="Times New Roman"/>
          <w:sz w:val="20"/>
          <w:szCs w:val="20"/>
        </w:rPr>
        <w:t xml:space="preserve">ин мог перевести деньги в любой банк так же просто и быстро, как отправить сообщение в мессенджере. В 2018 году началась разработка системы, а уже в январе 2019 года состоялся её официальный запуск в тестовом режиме с участием нескольких первых банков. </w:t>
      </w:r>
      <w:r>
        <w:rPr>
          <w:sz w:val="20"/>
          <w:szCs w:val="20"/>
        </w:rPr>
      </w:r>
      <w:r>
        <w:rPr>
          <w:sz w:val="20"/>
          <w:szCs w:val="20"/>
        </w:rPr>
      </w:r>
      <w:r>
        <w:rPr>
          <w:rFonts w:ascii="Times New Roman" w:hAnsi="Times New Roman" w:eastAsia="Times New Roman" w:cs="Times New Roman"/>
          <w:sz w:val="20"/>
          <w:szCs w:val="20"/>
        </w:rPr>
        <w:t xml:space="preserve">В 2020 году Банк России обязал все системно значимые кредитные организации подключиться к СБП. Это стало переломным моментом: крупнейшие банки страны вошли в систему, и она</w:t>
      </w:r>
      <w:r>
        <w:rPr>
          <w:rFonts w:ascii="Times New Roman" w:hAnsi="Times New Roman" w:eastAsia="Times New Roman" w:cs="Times New Roman"/>
          <w:sz w:val="20"/>
          <w:szCs w:val="20"/>
        </w:rPr>
        <w:t xml:space="preserve"> получила доступ к огромной аудитории. В 2021 году появилась возможность оплачивать покупки через QR-код. В 2022–2023 годах система продолжала развиваться: добавлялись новые функции, росло число подключённых банков, расширялась сеть точек приёма QR-оплаты.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Важно отметить, что в 2022 году, когда международные платёжные системы Visa и Mastercard прекратили работу в России, значимость СБП резко возросла. Система стала одним из главных инструментов, обеспечивающих бесперебойные безналичные расчёты внутри страны.</w:t>
      </w:r>
      <w:r>
        <w:rPr>
          <w:sz w:val="20"/>
          <w:szCs w:val="20"/>
        </w:rPr>
      </w:r>
    </w:p>
    <w:p>
      <w:pPr>
        <w:ind w:firstLine="0"/>
        <w:jc w:val="both"/>
        <w:spacing w:line="360" w:lineRule="auto"/>
        <w:rPr>
          <w:rFonts w:ascii="Times New Roman" w:hAnsi="Times New Roman" w:eastAsia="Times New Roman" w:cs="Times New Roman"/>
          <w:b/>
          <w:bCs/>
          <w:sz w:val="20"/>
          <w:szCs w:val="20"/>
        </w:rPr>
      </w:pPr>
      <w:r>
        <w:rPr>
          <w:rFonts w:ascii="Times New Roman" w:hAnsi="Times New Roman" w:eastAsia="Times New Roman" w:cs="Times New Roman"/>
          <w:sz w:val="20"/>
          <w:szCs w:val="20"/>
        </w:rPr>
      </w:r>
      <w:r>
        <w:rPr>
          <w:rFonts w:ascii="Times New Roman" w:hAnsi="Times New Roman" w:eastAsia="Times New Roman" w:cs="Times New Roman"/>
          <w:b/>
          <w:bCs/>
          <w:sz w:val="20"/>
          <w:szCs w:val="20"/>
        </w:rPr>
        <w:t xml:space="preserve">3. Экономическая выгода для граждан</w:t>
      </w:r>
      <w:r>
        <w:rPr>
          <w:sz w:val="20"/>
          <w:szCs w:val="20"/>
        </w:rPr>
      </w:r>
    </w:p>
    <w:p>
      <w:pPr>
        <w:ind w:firstLine="0"/>
        <w:jc w:val="both"/>
        <w:spacing w:line="360" w:lineRule="auto"/>
        <w:rPr>
          <w:sz w:val="20"/>
          <w:szCs w:val="20"/>
        </w:rPr>
      </w:pPr>
      <w:r>
        <w:rPr>
          <w:rFonts w:ascii="Times New Roman" w:hAnsi="Times New Roman" w:eastAsia="Times New Roman" w:cs="Times New Roman"/>
          <w:b/>
          <w:bCs/>
          <w:sz w:val="20"/>
          <w:szCs w:val="20"/>
        </w:rPr>
      </w:r>
      <w:r>
        <w:rPr>
          <w:rFonts w:ascii="Times New Roman" w:hAnsi="Times New Roman" w:eastAsia="Times New Roman" w:cs="Times New Roman"/>
          <w:sz w:val="20"/>
          <w:szCs w:val="20"/>
        </w:rPr>
        <w:t xml:space="preserve">Для обычных людей главная экономическая выгода от СБП — это возможность переводить деньги бесплатно. С 2023 года переводы между физическими ли</w:t>
      </w:r>
      <w:r>
        <w:rPr>
          <w:rFonts w:ascii="Times New Roman" w:hAnsi="Times New Roman" w:eastAsia="Times New Roman" w:cs="Times New Roman"/>
          <w:sz w:val="20"/>
          <w:szCs w:val="20"/>
        </w:rPr>
        <w:t xml:space="preserve">цами через СБП в размере до 100 тысяч рублей в месяц стали полностью бесплатными для клиентов подключённых банков. Переводы сверх этой суммы облагаются символической комиссией не более 0,5%, но её верхний предел ограничен 1500 рублями за одну операцию.</w:t>
      </w:r>
      <w:r>
        <w:rPr>
          <w:rFonts w:ascii="Times New Roman" w:hAnsi="Times New Roman" w:eastAsia="Times New Roman" w:cs="Times New Roman"/>
          <w:sz w:val="20"/>
          <w:szCs w:val="20"/>
        </w:rPr>
        <w:t xml:space="preserve"> Для сравнения: до появления СБП перевод из одного банка в другой мог</w:t>
      </w:r>
      <w:r>
        <w:rPr>
          <w:rFonts w:ascii="Times New Roman" w:hAnsi="Times New Roman" w:eastAsia="Times New Roman" w:cs="Times New Roman"/>
          <w:sz w:val="20"/>
          <w:szCs w:val="20"/>
        </w:rPr>
        <w:t xml:space="preserve"> стоить 1–3% от суммы плюс фиксированная минимальная плата. Например, при переводе 20 000 рублей комиссия могла составить от 200 до 600 рублей. Если человек делает несколько таких переводов в месяц, за год набегала значительная сумма. Теперь это бесплатно. </w:t>
      </w:r>
      <w:r>
        <w:rPr>
          <w:rFonts w:ascii="Times New Roman" w:hAnsi="Times New Roman" w:eastAsia="Times New Roman" w:cs="Times New Roman"/>
          <w:sz w:val="20"/>
          <w:szCs w:val="20"/>
        </w:rPr>
        <w:t xml:space="preserve">Помимо экономии на комиссиях, граждане выигрывают от удобства и скорости. Перевод по номеру телефона занимает несколько секунд — не нужно вводить длинные реквизиты, ехать в </w:t>
      </w:r>
      <w:r>
        <w:rPr>
          <w:rFonts w:ascii="Times New Roman" w:hAnsi="Times New Roman" w:eastAsia="Times New Roman" w:cs="Times New Roman"/>
          <w:sz w:val="20"/>
          <w:szCs w:val="20"/>
        </w:rPr>
        <w:t xml:space="preserve">банк или ждать, пока деньги «дойдут». Это особенно важно в ситуациях, когда нужно срочно помочь близким или расплатиться с кем-то немедленно. По данным опросов, более 70% пользователей СБП отмечают, что система удобнее, чем привычные способы переводов. </w:t>
      </w:r>
      <w:r>
        <w:rPr>
          <w:rFonts w:ascii="Times New Roman" w:hAnsi="Times New Roman" w:eastAsia="Times New Roman" w:cs="Times New Roman"/>
          <w:sz w:val="20"/>
          <w:szCs w:val="20"/>
        </w:rPr>
        <w:t xml:space="preserve">Ещё одно преимущество — финансовая доступность. СБП работает через мобильное приложение банка, которое</w:t>
      </w:r>
      <w:r>
        <w:rPr>
          <w:rFonts w:ascii="Times New Roman" w:hAnsi="Times New Roman" w:eastAsia="Times New Roman" w:cs="Times New Roman"/>
          <w:sz w:val="20"/>
          <w:szCs w:val="20"/>
        </w:rPr>
        <w:t xml:space="preserve"> есть практически у каждого современного смартфона. Для использования системы не нужна банковская карта — достаточно открытого счёта. Это означает, что люди, у которых по разным причинам нет карты, также могут полноценно участвовать в безналичных расчётах.</w:t>
      </w:r>
      <w:r>
        <w:rPr>
          <w:sz w:val="20"/>
          <w:szCs w:val="20"/>
        </w:rPr>
      </w: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4. Экономическая выгода для бизнеса</w:t>
      </w:r>
      <w:r>
        <w:rPr>
          <w:sz w:val="20"/>
          <w:szCs w:val="20"/>
        </w:rP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Для предпр</w:t>
      </w:r>
      <w:r>
        <w:rPr>
          <w:rFonts w:ascii="Times New Roman" w:hAnsi="Times New Roman" w:eastAsia="Times New Roman" w:cs="Times New Roman"/>
          <w:sz w:val="20"/>
          <w:szCs w:val="20"/>
        </w:rPr>
        <w:t xml:space="preserve">инимателей и торговых предприятий СБП также несёт ощутимую экономическую пользу. Главное преимущество — значительно более низкая комиссия за приём безналичной оплаты по сравнению с традиционным банковским эквайрингом (приёмом оплаты картой через терминал). </w:t>
      </w:r>
      <w:r>
        <w:rPr>
          <w:sz w:val="20"/>
          <w:szCs w:val="20"/>
        </w:rPr>
      </w:r>
      <w:r>
        <w:rPr>
          <w:sz w:val="20"/>
          <w:szCs w:val="20"/>
        </w:rPr>
      </w:r>
      <w:r>
        <w:rPr>
          <w:rFonts w:ascii="Times New Roman" w:hAnsi="Times New Roman" w:eastAsia="Times New Roman" w:cs="Times New Roman"/>
          <w:sz w:val="20"/>
          <w:szCs w:val="20"/>
        </w:rPr>
        <w:t xml:space="preserve">При оплате банковской картой магазин платит банку-эквайеру комиссию в размере, как правило, от 1,5% до 2,5% от суммы покупки. Банк, в свою очередь, часть этих денег перечисляет банку покупателя в вид</w:t>
      </w:r>
      <w:r>
        <w:rPr>
          <w:rFonts w:ascii="Times New Roman" w:hAnsi="Times New Roman" w:eastAsia="Times New Roman" w:cs="Times New Roman"/>
          <w:sz w:val="20"/>
          <w:szCs w:val="20"/>
        </w:rPr>
        <w:t xml:space="preserve">е так называемой межбанковской комиссии (interchange fee). При оплате через СБП ставка для большинства категорий бизнеса составляет всего 0,4–0,7%, а для ряда социально значимых платежей — например, оплаты коммунальных услуг и образования — и вовсе 0%. </w:t>
      </w:r>
      <w:r>
        <w:rPr>
          <w:rFonts w:ascii="Times New Roman" w:hAnsi="Times New Roman" w:eastAsia="Times New Roman" w:cs="Times New Roman"/>
          <w:sz w:val="20"/>
          <w:szCs w:val="20"/>
        </w:rPr>
        <w:t xml:space="preserve">Разница кажется небольшой в процентах, но на практике это очень значительная сумма. Рассмотрим простой пример. Если кафе принимает безналичную оплату на сумму 1 миллион рублей в ме</w:t>
      </w:r>
      <w:r>
        <w:rPr>
          <w:rFonts w:ascii="Times New Roman" w:hAnsi="Times New Roman" w:eastAsia="Times New Roman" w:cs="Times New Roman"/>
          <w:sz w:val="20"/>
          <w:szCs w:val="20"/>
        </w:rPr>
        <w:t xml:space="preserve">сяц, при карточном эквайринге со ставкой 2% оно заплатит 20 000 рублей комиссии. При оплате через СБП со ставкой 0,5% — только 5 000 рублей. Экономия составит 15 000 рублей в месяц, или 180 000 рублей в год. Для малого бизнеса это очень существенная сумма.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Кроме экономии на комиссиях, СБП даёт бизнесу ещё одно важное преимущество — мгновенное зачисление денег. При оплате картой средства поступают на расчётный счёт магазина обы</w:t>
      </w:r>
      <w:r>
        <w:rPr>
          <w:rFonts w:ascii="Times New Roman" w:hAnsi="Times New Roman" w:eastAsia="Times New Roman" w:cs="Times New Roman"/>
          <w:sz w:val="20"/>
          <w:szCs w:val="20"/>
        </w:rPr>
        <w:t xml:space="preserve">чно через один-два рабочих дня. При оплате через СБП деньги приходят немедленно. Для малого бизнеса с ограниченным оборотным капиталом это означает, что можно быстрее пускать деньги обратно в дело: закупать товар, платить поставщикам, выплачивать зарплату.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Особенно важна СБП для микробизнеса и самозанятых. Маленький магазин или пар</w:t>
      </w:r>
      <w:r>
        <w:rPr>
          <w:rFonts w:ascii="Times New Roman" w:hAnsi="Times New Roman" w:eastAsia="Times New Roman" w:cs="Times New Roman"/>
          <w:sz w:val="20"/>
          <w:szCs w:val="20"/>
        </w:rPr>
        <w:t xml:space="preserve">икмахер-индивидуальный предприниматель может принимать оплату через QR-код прямо с телефона — без покупки дорогостоящего POS-терминала и без заключения договора с банком-эквайером. Это снижает барьер входа для малого бизнеса в мир безналичных платежей.</w:t>
      </w:r>
      <w:r>
        <w:rPr>
          <w:sz w:val="20"/>
          <w:szCs w:val="20"/>
        </w:rPr>
      </w:r>
      <w:r>
        <w:rPr>
          <w:sz w:val="20"/>
          <w:szCs w:val="20"/>
        </w:rP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5. Влияние СБП на конкуренцию на финансовом рынке</w:t>
      </w:r>
      <w:r>
        <w:rPr>
          <w:sz w:val="20"/>
          <w:szCs w:val="20"/>
        </w:rP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Появление СБП существенно изменило расстановку сил на рынке розничных платежей. До её запуска несколько крупных банков, прежде</w:t>
      </w:r>
      <w:r>
        <w:rPr>
          <w:rFonts w:ascii="Times New Roman" w:hAnsi="Times New Roman" w:eastAsia="Times New Roman" w:cs="Times New Roman"/>
          <w:sz w:val="20"/>
          <w:szCs w:val="20"/>
        </w:rPr>
        <w:t xml:space="preserve"> всего Сбербанк, занимали доминирующее положение в сегменте переводов между физическими лицами. Перевести деньги клиенту другого банка было неудобно и дорого, поэтому люди предпочитали держать счета в одном банке или пользоваться его внутренними сервисами. </w:t>
      </w:r>
      <w:r>
        <w:rPr>
          <w:sz w:val="20"/>
          <w:szCs w:val="20"/>
        </w:rPr>
      </w:r>
      <w:r>
        <w:rPr>
          <w:sz w:val="20"/>
          <w:szCs w:val="20"/>
        </w:rPr>
      </w:r>
      <w:r>
        <w:rPr>
          <w:rFonts w:ascii="Times New Roman" w:hAnsi="Times New Roman" w:eastAsia="Times New Roman" w:cs="Times New Roman"/>
          <w:sz w:val="20"/>
          <w:szCs w:val="20"/>
        </w:rPr>
        <w:t xml:space="preserve">СБП фактически уравняла все банки. Теперь неважно, в каком банке открыт счёт: перевод через СБП пройдёт так же быстро и бесплатно. Это привело</w:t>
      </w:r>
      <w:r>
        <w:rPr>
          <w:rFonts w:ascii="Times New Roman" w:hAnsi="Times New Roman" w:eastAsia="Times New Roman" w:cs="Times New Roman"/>
          <w:sz w:val="20"/>
          <w:szCs w:val="20"/>
        </w:rPr>
        <w:t xml:space="preserve"> к тому, что клиенты стали смелее открывать счета в разных банках, выбирая тот, который предлагает лучшие условия по вкладам, кредитам или другим услугам. Конкуренция за клиента усилилась, и банки были вынуждены улучшать своё обслуживание и снижать тарифы.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В сегменте торгового эквайринга также произошли изменения. Угроза того, что торговые предприятия массово перейдут на более дешёвую оплату через СБП,</w:t>
      </w:r>
      <w:r>
        <w:rPr>
          <w:rFonts w:ascii="Times New Roman" w:hAnsi="Times New Roman" w:eastAsia="Times New Roman" w:cs="Times New Roman"/>
          <w:sz w:val="20"/>
          <w:szCs w:val="20"/>
        </w:rPr>
        <w:t xml:space="preserve"> заставила банки снижать свои комиссии по карточному эквайрингу. По данным Банка России, средняя ставка торгового эквайринга в России снизилась с примерно 1,8% в 2018 году до 1,5% в 2023 году. Это прямой результат конкурентного давления со стороны СБП. </w:t>
      </w:r>
      <w:r>
        <w:rPr>
          <w:sz w:val="20"/>
          <w:szCs w:val="20"/>
        </w:rPr>
      </w:r>
      <w:r>
        <w:rPr>
          <w:sz w:val="20"/>
          <w:szCs w:val="20"/>
        </w:rPr>
      </w:r>
      <w:r>
        <w:rPr>
          <w:rFonts w:ascii="Times New Roman" w:hAnsi="Times New Roman" w:eastAsia="Times New Roman" w:cs="Times New Roman"/>
          <w:sz w:val="20"/>
          <w:szCs w:val="20"/>
        </w:rPr>
        <w:t xml:space="preserve">Следует </w:t>
      </w:r>
      <w:r>
        <w:rPr>
          <w:rFonts w:ascii="Times New Roman" w:hAnsi="Times New Roman" w:eastAsia="Times New Roman" w:cs="Times New Roman"/>
          <w:sz w:val="20"/>
          <w:szCs w:val="20"/>
        </w:rPr>
        <w:t xml:space="preserve">честно отметить, что крупные банки поначалу сопротивлялись развитию СБП, поскольку она угрожала их доходам от комиссий. Некоторые из них намеренно скрывали функцию переводов через СБП в своих приложениях или делали её неудобной для использования. Банку Рос</w:t>
      </w:r>
      <w:r>
        <w:rPr>
          <w:rFonts w:ascii="Times New Roman" w:hAnsi="Times New Roman" w:eastAsia="Times New Roman" w:cs="Times New Roman"/>
          <w:sz w:val="20"/>
          <w:szCs w:val="20"/>
        </w:rPr>
        <w:t xml:space="preserve">сии пришлось ввести административное давление и требование об обязательном и равнозначном отображении СБП в банковских приложениях. Этот эпизод хорошо показывает, что экономические интересы отдельных игроков рынка не всегда совпадают с интересами общества.</w:t>
      </w:r>
      <w:r>
        <w:rPr>
          <w:sz w:val="20"/>
          <w:szCs w:val="20"/>
        </w:rPr>
      </w:r>
      <w:r>
        <w:rPr>
          <w:sz w:val="20"/>
          <w:szCs w:val="20"/>
        </w:rPr>
      </w:r>
      <w:r>
        <w:rPr>
          <w:sz w:val="20"/>
          <w:szCs w:val="20"/>
        </w:rP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6. Проблемы и ограничения СБП</w:t>
      </w:r>
      <w:r>
        <w:rPr>
          <w:sz w:val="20"/>
          <w:szCs w:val="20"/>
        </w:rP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При всех своих достоинствах Система быстрых платежей имеет ряд проблем и ограничений, о которых честный анализ не может умолчать. </w:t>
      </w:r>
      <w:r>
        <w:rPr>
          <w:sz w:val="20"/>
          <w:szCs w:val="20"/>
        </w:rPr>
      </w:r>
      <w:r>
        <w:rPr>
          <w:sz w:val="20"/>
          <w:szCs w:val="20"/>
        </w:rPr>
      </w:r>
      <w:r>
        <w:rPr>
          <w:rFonts w:ascii="Times New Roman" w:hAnsi="Times New Roman" w:eastAsia="Times New Roman" w:cs="Times New Roman"/>
          <w:sz w:val="20"/>
          <w:szCs w:val="20"/>
        </w:rPr>
        <w:t xml:space="preserve">Первая проблема — мошенничество. Мгновенность переводов, которая является главным преимуществом СБП, одновременн</w:t>
      </w:r>
      <w:r>
        <w:rPr>
          <w:rFonts w:ascii="Times New Roman" w:hAnsi="Times New Roman" w:eastAsia="Times New Roman" w:cs="Times New Roman"/>
          <w:sz w:val="20"/>
          <w:szCs w:val="20"/>
        </w:rPr>
        <w:t xml:space="preserve">о является её уязвимостью. Если мошенник обманом убедит человека сделать перевод, вернуть деньги практически невозможно — они уже мгновенно ушли на счёт злоумышленника и могут быть быстро обналичены или переведены дальше. По статистике Банка России, объём </w:t>
      </w:r>
      <w:r>
        <w:rPr>
          <w:rFonts w:ascii="Times New Roman" w:hAnsi="Times New Roman" w:eastAsia="Times New Roman" w:cs="Times New Roman"/>
          <w:sz w:val="20"/>
          <w:szCs w:val="20"/>
        </w:rPr>
        <w:t xml:space="preserve">мошеннических операций с использованием методов социальной инженерии (когда человека убеждают добровольно перевести деньги) постоянно растёт, и СБП активно используется в таких схемах. Банки работают над системами антифрода, но проблема пока не решена. </w:t>
      </w:r>
      <w:r>
        <w:rPr>
          <w:sz w:val="20"/>
          <w:szCs w:val="20"/>
        </w:rPr>
      </w:r>
      <w:r>
        <w:rPr>
          <w:sz w:val="20"/>
          <w:szCs w:val="20"/>
        </w:rPr>
      </w:r>
      <w:r>
        <w:rPr>
          <w:rFonts w:ascii="Times New Roman" w:hAnsi="Times New Roman" w:eastAsia="Times New Roman" w:cs="Times New Roman"/>
          <w:sz w:val="20"/>
          <w:szCs w:val="20"/>
        </w:rPr>
        <w:t xml:space="preserve">Вторая проблема — цифровое неравенство. СБП требует наличия смартфона с мобильным приложением банк</w:t>
      </w:r>
      <w:r>
        <w:rPr>
          <w:rFonts w:ascii="Times New Roman" w:hAnsi="Times New Roman" w:eastAsia="Times New Roman" w:cs="Times New Roman"/>
          <w:sz w:val="20"/>
          <w:szCs w:val="20"/>
        </w:rPr>
        <w:t xml:space="preserve">а. Пожилые люди, жители отдалённых районов с плохим интернетом, а также граждане с ограниченными возможностями могут испытывать трудности с использованием системы. Для них переход на безналичные платежи через СБП менее доступен, чем для городской молодёжи. </w:t>
      </w:r>
      <w:r>
        <w:rPr>
          <w:sz w:val="20"/>
          <w:szCs w:val="20"/>
        </w:rPr>
      </w:r>
      <w:r>
        <w:rPr>
          <w:sz w:val="20"/>
          <w:szCs w:val="20"/>
        </w:rPr>
      </w:r>
      <w:r>
        <w:rPr>
          <w:sz w:val="20"/>
          <w:szCs w:val="20"/>
        </w:rPr>
      </w:r>
      <w:r>
        <w:rPr>
          <w:rFonts w:ascii="Times New Roman" w:hAnsi="Times New Roman" w:eastAsia="Times New Roman" w:cs="Times New Roman"/>
          <w:sz w:val="20"/>
          <w:szCs w:val="20"/>
        </w:rPr>
        <w:t xml:space="preserve">Третья проблема — ограниченность трансграничных платежей. СБП изначально создав</w:t>
      </w:r>
      <w:r>
        <w:rPr>
          <w:rFonts w:ascii="Times New Roman" w:hAnsi="Times New Roman" w:eastAsia="Times New Roman" w:cs="Times New Roman"/>
          <w:sz w:val="20"/>
          <w:szCs w:val="20"/>
        </w:rPr>
        <w:t xml:space="preserve">алась как система для внутренних расчётов. Переводы за рубеж через СБП пока доступны лишь в небольшое число стран. В условиях, когда многие россияне работают или учатся за границей или имеют родственников в других государствах, это существенный недостаток.</w:t>
      </w:r>
      <w:r>
        <w:rPr>
          <w:rFonts w:ascii="Times New Roman" w:hAnsi="Times New Roman" w:eastAsia="Times New Roman" w:cs="Times New Roman"/>
          <w:sz w:val="20"/>
          <w:szCs w:val="20"/>
        </w:rPr>
        <w:t xml:space="preserve">Четвёртая проблема — неравномерный охват бизнеса. Несмотря на рост числа торговых точек, принимающих оплату через QR-код, небольшие магазины, рынки и предприятия сервиса в малых городах и сельской местности ещё не везде подключены к системе.</w:t>
      </w:r>
      <w:r>
        <w:rPr>
          <w:sz w:val="20"/>
          <w:szCs w:val="20"/>
        </w:rPr>
      </w:r>
      <w:r>
        <w:rPr>
          <w:sz w:val="20"/>
          <w:szCs w:val="20"/>
        </w:rP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7. Перспективы развития СБП</w:t>
      </w:r>
      <w:r>
        <w:rPr>
          <w:sz w:val="20"/>
          <w:szCs w:val="20"/>
        </w:rP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Несмотря на имеющиеся ограничения, перспективы Системы быстрых платежей выглядят очень хорошо. Банк России и НСПК последовательно работают над расширением функциональности системы и устранением её слабых мест. </w:t>
      </w:r>
      <w:r>
        <w:rPr>
          <w:sz w:val="20"/>
          <w:szCs w:val="20"/>
        </w:rPr>
      </w:r>
      <w:r>
        <w:rPr>
          <w:sz w:val="20"/>
          <w:szCs w:val="20"/>
        </w:rPr>
      </w:r>
      <w:r>
        <w:rPr>
          <w:rFonts w:ascii="Times New Roman" w:hAnsi="Times New Roman" w:eastAsia="Times New Roman" w:cs="Times New Roman"/>
          <w:sz w:val="20"/>
          <w:szCs w:val="20"/>
        </w:rPr>
        <w:t xml:space="preserve">Одним из ключевых направлений развития является расширение трансграничных платежей. Уже сейчас реализованы перев</w:t>
      </w:r>
      <w:r>
        <w:rPr>
          <w:rFonts w:ascii="Times New Roman" w:hAnsi="Times New Roman" w:eastAsia="Times New Roman" w:cs="Times New Roman"/>
          <w:sz w:val="20"/>
          <w:szCs w:val="20"/>
        </w:rPr>
        <w:t xml:space="preserve">оды в Беларусь и ряд других стран СНГ через механизм взаимодействия национальных платёжных систем. В перспективе планируется подключение новых стран, что позволит российским гражданам и бизнесу совершать международные платежи быстро и без высоких комиссий.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Другое важное направление — интеграция С</w:t>
      </w:r>
      <w:r>
        <w:rPr>
          <w:rFonts w:ascii="Times New Roman" w:hAnsi="Times New Roman" w:eastAsia="Times New Roman" w:cs="Times New Roman"/>
          <w:sz w:val="20"/>
          <w:szCs w:val="20"/>
        </w:rPr>
        <w:t xml:space="preserve">БП с государственными услугами. Уже сейчас через систему можно оплачивать налоги, штрафы ГИБДД и ряд других обязательных платежей. В будущем планируется расширить этот перечень, что сделает взаимодействие граждан с государством ещё более простым и быстрым. </w:t>
      </w:r>
      <w:r>
        <w:rPr>
          <w:sz w:val="20"/>
          <w:szCs w:val="20"/>
        </w:rPr>
      </w:r>
      <w:r>
        <w:rPr>
          <w:sz w:val="20"/>
          <w:szCs w:val="20"/>
        </w:rPr>
      </w:r>
      <w:r>
        <w:rPr>
          <w:rFonts w:ascii="Times New Roman" w:hAnsi="Times New Roman" w:eastAsia="Times New Roman" w:cs="Times New Roman"/>
          <w:sz w:val="20"/>
          <w:szCs w:val="20"/>
        </w:rPr>
        <w:t xml:space="preserve">Активно развивается сегмент выплат от бизнеса гражданам (B2C). Через СБП уже можно получать кэшбэк, страховые выплаты, возвраты от интернет-магазинов. В перспективе через систему планируется организовать выплату заработной платы и социальных пособий.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Наконец, важным факторо</w:t>
      </w:r>
      <w:r>
        <w:rPr>
          <w:rFonts w:ascii="Times New Roman" w:hAnsi="Times New Roman" w:eastAsia="Times New Roman" w:cs="Times New Roman"/>
          <w:sz w:val="20"/>
          <w:szCs w:val="20"/>
        </w:rPr>
        <w:t xml:space="preserve">м роста станет дальнейшее развитие инфраструктуры приёма QR-платежей. Чем больше магазинов, кафе, транспортных компаний и сервисных предприятий подключатся к СБП, тем удобнее станет система для пользователей — и тем больше экономическая отдача от неё.</w:t>
      </w:r>
      <w:r>
        <w:rPr>
          <w:sz w:val="20"/>
          <w:szCs w:val="20"/>
        </w:rPr>
      </w:r>
      <w:r>
        <w:rPr>
          <w:sz w:val="20"/>
          <w:szCs w:val="20"/>
        </w:rPr>
      </w:r>
    </w:p>
    <w:p>
      <w:pPr>
        <w:ind w:firstLine="0"/>
        <w:jc w:val="both"/>
        <w:spacing w:before="200" w:after="80" w:line="360" w:lineRule="auto"/>
        <w:rPr>
          <w:sz w:val="20"/>
          <w:szCs w:val="20"/>
        </w:rPr>
      </w:pPr>
      <w:r>
        <w:rPr>
          <w:rFonts w:ascii="Times New Roman" w:hAnsi="Times New Roman" w:eastAsia="Times New Roman" w:cs="Times New Roman"/>
          <w:b/>
          <w:bCs/>
          <w:sz w:val="20"/>
          <w:szCs w:val="20"/>
        </w:rPr>
        <w:t xml:space="preserve">Заключение</w:t>
      </w:r>
      <w:r>
        <w:rPr>
          <w:sz w:val="20"/>
          <w:szCs w:val="20"/>
        </w:rPr>
      </w:r>
      <w:r>
        <w:rPr>
          <w:sz w:val="20"/>
          <w:szCs w:val="20"/>
        </w:rPr>
      </w:r>
    </w:p>
    <w:p>
      <w:pPr>
        <w:ind w:firstLine="0"/>
        <w:jc w:val="both"/>
        <w:spacing w:line="360" w:lineRule="auto"/>
        <w:rPr>
          <w:sz w:val="20"/>
          <w:szCs w:val="20"/>
        </w:rPr>
      </w:pPr>
      <w:r>
        <w:rPr>
          <w:rFonts w:ascii="Times New Roman" w:hAnsi="Times New Roman" w:eastAsia="Times New Roman" w:cs="Times New Roman"/>
          <w:sz w:val="20"/>
          <w:szCs w:val="20"/>
        </w:rPr>
        <w:t xml:space="preserve">Проведённый анализ показывает, что Система быстрых платежей является экон</w:t>
      </w:r>
      <w:r>
        <w:rPr>
          <w:rFonts w:ascii="Times New Roman" w:hAnsi="Times New Roman" w:eastAsia="Times New Roman" w:cs="Times New Roman"/>
          <w:sz w:val="20"/>
          <w:szCs w:val="20"/>
        </w:rPr>
        <w:t xml:space="preserve">омически эффективным проектом, который принёс реальную пользу миллионам людей и тысячам предприятий. За пять лет работы система прошла огромный путь: от экспериментального сервиса с несколькими банками до ключевого элемента платёжной инфраструктуры страны. </w:t>
      </w:r>
      <w:r>
        <w:rPr>
          <w:sz w:val="20"/>
          <w:szCs w:val="20"/>
        </w:rPr>
      </w:r>
      <w:r>
        <w:rPr>
          <w:sz w:val="20"/>
          <w:szCs w:val="20"/>
        </w:rPr>
      </w:r>
      <w:r>
        <w:rPr>
          <w:rFonts w:ascii="Times New Roman" w:hAnsi="Times New Roman" w:eastAsia="Times New Roman" w:cs="Times New Roman"/>
          <w:sz w:val="20"/>
          <w:szCs w:val="20"/>
        </w:rPr>
        <w:t xml:space="preserve">Граждане получили возможность переводить деньги бесплатно и мгновенно, не завися от того, в каком банке открыт счёт у получателя. Предприниматели — более дешёвый инструмент приёма безналичных платежей, </w:t>
      </w:r>
      <w:r>
        <w:rPr>
          <w:rFonts w:ascii="Times New Roman" w:hAnsi="Times New Roman" w:eastAsia="Times New Roman" w:cs="Times New Roman"/>
          <w:sz w:val="20"/>
          <w:szCs w:val="20"/>
        </w:rPr>
        <w:t xml:space="preserve">который позволяет экономить значительные суммы на комиссиях и получать деньги от покупателей сразу. Финансовый рынок в целом стал более конкурентным: банки вынуждены бороться за клиентов качеством услуг, а не удерживать их высокими барьерами для переводов.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Государство также выиграло от создания СБП: страна получила независимую, суверенную платёжную инфраструктуру, которая продолжает работать в любых внешних условиях. </w:t>
      </w:r>
      <w:r>
        <w:rPr>
          <w:sz w:val="20"/>
          <w:szCs w:val="20"/>
        </w:rPr>
      </w:r>
      <w:r>
        <w:rPr>
          <w:sz w:val="20"/>
          <w:szCs w:val="20"/>
        </w:rPr>
      </w:r>
      <w:r>
        <w:rPr>
          <w:sz w:val="20"/>
          <w:szCs w:val="20"/>
        </w:rPr>
      </w:r>
      <w:r>
        <w:rPr>
          <w:rFonts w:ascii="Times New Roman" w:hAnsi="Times New Roman" w:eastAsia="Times New Roman" w:cs="Times New Roman"/>
          <w:sz w:val="20"/>
          <w:szCs w:val="20"/>
        </w:rPr>
        <w:t xml:space="preserve">Вместе с тем система ещё не достигла своего полного потенциала. Пробл</w:t>
      </w:r>
      <w:r>
        <w:rPr>
          <w:rFonts w:ascii="Times New Roman" w:hAnsi="Times New Roman" w:eastAsia="Times New Roman" w:cs="Times New Roman"/>
          <w:sz w:val="20"/>
          <w:szCs w:val="20"/>
        </w:rPr>
        <w:t xml:space="preserve">емы мошенничества, цифрового неравенства и ограниченности трансграничных возможностей требуют дальнейшей работы. Решение этих задач позволит Системе быстрых платежей принести ещё больше экономических выгод для всех участников финансовых отношений в России.</w:t>
      </w:r>
      <w:r>
        <w:rPr>
          <w:sz w:val="20"/>
          <w:szCs w:val="20"/>
        </w:rPr>
      </w:r>
      <w:r>
        <w:rPr>
          <w:sz w:val="20"/>
          <w:szCs w:val="20"/>
        </w:rPr>
      </w:r>
      <w:r>
        <w:rPr>
          <w:sz w:val="20"/>
          <w:szCs w:val="20"/>
        </w:rPr>
      </w:r>
    </w:p>
    <w:p>
      <w:pPr>
        <w:spacing w:line="360" w:lineRule="auto"/>
        <w:rPr>
          <w:sz w:val="20"/>
          <w:szCs w:val="20"/>
        </w:rPr>
      </w:pPr>
      <w:r>
        <w:rPr>
          <w:rFonts w:ascii="Times New Roman" w:hAnsi="Times New Roman" w:eastAsia="Times New Roman" w:cs="Times New Roman"/>
          <w:sz w:val="20"/>
          <w:szCs w:val="20"/>
        </w:rPr>
      </w:r>
      <w:r>
        <w:rPr>
          <w:sz w:val="20"/>
          <w:szCs w:val="20"/>
        </w:rPr>
      </w:r>
      <w:r>
        <w:rPr>
          <w:sz w:val="20"/>
          <w:szCs w:val="20"/>
        </w:rPr>
      </w:r>
    </w:p>
    <w:p>
      <w:pPr>
        <w:spacing w:line="360" w:lineRule="auto"/>
        <w:rPr>
          <w:sz w:val="20"/>
          <w:szCs w:val="20"/>
        </w:rPr>
      </w:pPr>
      <w:r>
        <w:rPr>
          <w:rFonts w:ascii="Times New Roman" w:hAnsi="Times New Roman" w:eastAsia="Times New Roman" w:cs="Times New Roman"/>
          <w:sz w:val="20"/>
          <w:szCs w:val="20"/>
        </w:rPr>
      </w:r>
      <w:r>
        <w:rPr>
          <w:sz w:val="20"/>
          <w:szCs w:val="20"/>
        </w:rPr>
      </w:r>
      <w:r>
        <w:rPr>
          <w:sz w:val="20"/>
          <w:szCs w:val="20"/>
        </w:rPr>
      </w:r>
    </w:p>
    <w:p>
      <w:pPr>
        <w:ind w:left="0" w:firstLine="720"/>
        <w:jc w:val="center"/>
        <w:spacing w:before="200" w:after="80" w:line="360" w:lineRule="auto"/>
        <w:rPr>
          <w:bCs w:val="0"/>
          <w:i w:val="0"/>
          <w:sz w:val="20"/>
          <w:szCs w:val="20"/>
        </w:rPr>
      </w:pPr>
      <w:r>
        <w:rPr>
          <w:rFonts w:ascii="Times New Roman" w:hAnsi="Times New Roman" w:eastAsia="Times New Roman" w:cs="Times New Roman"/>
          <w:b/>
          <w:bCs/>
          <w:i w:val="0"/>
          <w:iCs w:val="0"/>
          <w:sz w:val="20"/>
          <w:szCs w:val="20"/>
        </w:rPr>
        <w:t xml:space="preserve">Список используемых источников</w:t>
      </w:r>
      <w:r>
        <w:rPr>
          <w:i w:val="0"/>
          <w:iCs w:val="0"/>
          <w:sz w:val="20"/>
          <w:szCs w:val="20"/>
        </w:rPr>
      </w:r>
      <w:r>
        <w:rPr>
          <w:i w:val="0"/>
          <w:iCs w:val="0"/>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1. Банк России. Платёжная система Банка России: статистические показатели за 2023 год. — М.: Банк России, 2024. — Режим доступа: https://www.cbr.ru/statistics/payment_statistics/ (дата обращения: 10.02.2025).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2. Национальная система платёжных карт (НСПК). Система быстрых платежей: как это работает. — М.: НСПК, 2023. — Режим доступа: https://www.nspk.ru/sbp/ (дата обращения: 11.02.2025).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3. Банк России. Список банков — участников СБП. — М.: Банк России, 2024. — Режим доступа: https://sbp.nspk.ru/participants/ (дата обращения: 11.02.2025).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4. Криворучко С.В., Лопатин В.А. Национальная платёжная система: структура, технологии, регулирование. Международный опыт, российская практика. — М.: КноРус, 2021. — 456 с.</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5. НАФИ. Использование цифровых финансовых сервисов россиянами в 2023 году: аналитический доклад. — М.: НАФИ, 2023. — Режим доступа: https://nafi.ru (дата обращения: 13.02.2025).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6. Банк России. Тарифы на участие в Системе быстрых платежей. — М.: Банк России, 2023. — Режим доступа: https://www.cbr.ru/payment/sbp/tariffs/ (дата обращения: 12.02.2025).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7. Лаврушин О.И. Банковское дело: учебник / под ред. О.И. Лаврушина. — 12-е изд., стер. — М.: КноРус, 2020. — 800 с.</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8. Банк России. Отчёт о несанкционированных операциях с платёжными инструментами за 2023 год. — М.: Банк России, 2024. — Режим доступа: https://www.cbr.ru/analytics/ib/fraud_report_2023/ (дата обращения: 14.02.2025).</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9. Прокофьев М.Н., Симонов С.В. Платёжные системы в цифровой экономике: учебник для вузов. — М.: Финансы и статистика, 2022. — 256 с.</w:t>
      </w:r>
      <w:r>
        <w:rPr>
          <w:sz w:val="20"/>
          <w:szCs w:val="20"/>
        </w:rPr>
      </w:r>
      <w:r>
        <w:rPr>
          <w:sz w:val="20"/>
          <w:szCs w:val="20"/>
        </w:rPr>
      </w:r>
    </w:p>
    <w:p>
      <w:pPr>
        <w:ind w:left="720" w:hanging="720"/>
        <w:jc w:val="center"/>
        <w:spacing w:line="360" w:lineRule="auto"/>
        <w:rPr>
          <w:sz w:val="20"/>
          <w:szCs w:val="20"/>
        </w:rPr>
      </w:pPr>
      <w:r>
        <w:rPr>
          <w:rFonts w:ascii="Times New Roman" w:hAnsi="Times New Roman" w:eastAsia="Times New Roman" w:cs="Times New Roman"/>
          <w:sz w:val="20"/>
          <w:szCs w:val="20"/>
        </w:rPr>
        <w:t xml:space="preserve">10. Агентство «Финансовые инновации». Рынок быстрых платежей России: итоги 2023 года и прогноз. — М., 2024. — 44 с.</w:t>
      </w:r>
      <w:r>
        <w:rPr>
          <w:sz w:val="20"/>
          <w:szCs w:val="20"/>
        </w:rPr>
      </w:r>
      <w:r>
        <w:rPr>
          <w:sz w:val="20"/>
          <w:szCs w:val="20"/>
        </w:rPr>
      </w:r>
    </w:p>
    <w:p>
      <w:pPr>
        <w:ind w:firstLine="720"/>
        <w:jc w:val="left"/>
        <w:spacing w:line="360" w:lineRule="auto"/>
        <w:rPr>
          <w:rFonts w:ascii="Times New Roman" w:hAnsi="Times New Roman" w:cs="Times New Roman"/>
          <w:b w:val="0"/>
          <w:bCs w:val="0"/>
          <w:sz w:val="20"/>
          <w:szCs w:val="20"/>
          <w:highlight w:val="none"/>
          <w:lang w:val="ru-RU"/>
        </w:rPr>
      </w:pPr>
      <w:r>
        <w:rPr>
          <w:rFonts w:ascii="Times New Roman" w:hAnsi="Times New Roman" w:cs="Times New Roman"/>
          <w:b w:val="0"/>
          <w:bCs w:val="0"/>
          <w:sz w:val="20"/>
          <w:szCs w:val="20"/>
          <w:highlight w:val="none"/>
          <w:lang w:val="ru-RU"/>
        </w:rPr>
      </w:r>
      <w:r>
        <w:rPr>
          <w:rFonts w:ascii="Times New Roman" w:hAnsi="Times New Roman" w:cs="Times New Roman"/>
          <w:b w:val="0"/>
          <w:bCs w:val="0"/>
          <w:sz w:val="20"/>
          <w:szCs w:val="20"/>
          <w:highlight w:val="none"/>
          <w:lang w:val="ru-RU"/>
        </w:rPr>
      </w:r>
    </w:p>
    <w:p>
      <w:pPr>
        <w:ind w:firstLine="720"/>
        <w:jc w:val="left"/>
        <w:spacing w:line="360" w:lineRule="auto"/>
        <w:rPr>
          <w:rFonts w:ascii="Times New Roman" w:hAnsi="Times New Roman" w:cs="Times New Roman"/>
          <w:b/>
          <w:bCs/>
          <w:sz w:val="20"/>
          <w:szCs w:val="20"/>
          <w:highlight w:val="none"/>
        </w:rPr>
      </w:pPr>
      <w:r>
        <w:rPr>
          <w:rFonts w:ascii="Times New Roman" w:hAnsi="Times New Roman" w:cs="Times New Roman"/>
          <w:b/>
          <w:bCs/>
          <w:sz w:val="20"/>
          <w:szCs w:val="20"/>
          <w:highlight w:val="none"/>
          <w:lang w:val="en-US"/>
        </w:rPr>
      </w:r>
      <w:r>
        <w:rPr>
          <w:rFonts w:ascii="Times New Roman" w:hAnsi="Times New Roman" w:cs="Times New Roman"/>
          <w:b/>
          <w:bCs/>
          <w:sz w:val="20"/>
          <w:szCs w:val="20"/>
          <w:highlight w:val="none"/>
          <w:lang w:val="en-US"/>
        </w:rPr>
      </w:r>
    </w:p>
    <w:p>
      <w:pPr>
        <w:ind w:firstLine="720"/>
        <w:jc w:val="left"/>
        <w:spacing w:line="360" w:lineRule="auto"/>
        <w:rPr>
          <w:rFonts w:ascii="Times New Roman" w:hAnsi="Times New Roman" w:cs="Times New Roman"/>
          <w:b/>
          <w:bCs/>
          <w:sz w:val="20"/>
          <w:szCs w:val="20"/>
          <w:highlight w:val="none"/>
        </w:rPr>
      </w:pPr>
      <w:r>
        <w:rPr>
          <w:rFonts w:ascii="Times New Roman" w:hAnsi="Times New Roman" w:cs="Times New Roman"/>
          <w:b/>
          <w:bCs/>
          <w:sz w:val="20"/>
          <w:szCs w:val="20"/>
          <w:highlight w:val="none"/>
          <w:lang w:val="en-US"/>
        </w:rPr>
      </w:r>
      <w:r>
        <w:rPr>
          <w:rFonts w:ascii="Times New Roman" w:hAnsi="Times New Roman" w:cs="Times New Roman"/>
          <w:b/>
          <w:bCs/>
          <w:sz w:val="20"/>
          <w:szCs w:val="20"/>
          <w:highlight w:val="none"/>
          <w:lang w:val="en-US"/>
        </w:rPr>
      </w:r>
    </w:p>
    <w:p>
      <w:pPr>
        <w:ind w:firstLine="720"/>
        <w:jc w:val="both"/>
        <w:spacing w:line="360" w:lineRule="auto"/>
        <w:rPr>
          <w:rFonts w:ascii="Times New Roman" w:hAnsi="Times New Roman" w:cs="Times New Roman"/>
          <w:b/>
          <w:bCs/>
          <w:sz w:val="20"/>
          <w:szCs w:val="20"/>
        </w:rPr>
      </w:pPr>
      <w:r>
        <w:rPr>
          <w:rFonts w:ascii="Times New Roman" w:hAnsi="Times New Roman" w:cs="Times New Roman"/>
          <w:b/>
          <w:bCs/>
          <w:sz w:val="20"/>
          <w:szCs w:val="20"/>
          <w:highlight w:val="none"/>
          <w:lang w:val="en-US"/>
        </w:rPr>
      </w:r>
      <w:r>
        <w:rPr>
          <w:rFonts w:ascii="Times New Roman" w:hAnsi="Times New Roman" w:cs="Times New Roman"/>
          <w:b/>
          <w:bCs/>
          <w:sz w:val="20"/>
          <w:szCs w:val="20"/>
          <w:highlight w:val="none"/>
          <w:lang w:val="en-US"/>
        </w:rPr>
      </w:r>
    </w:p>
    <w:p>
      <w:pPr>
        <w:ind w:left="0" w:right="0" w:firstLine="0"/>
        <w:jc w:val="left"/>
        <w:spacing w:before="0" w:after="450"/>
        <w:shd w:val="clear" w:color="ffffff" w:fill="ffffff"/>
        <w:rPr>
          <w:rFonts w:ascii="Arial" w:hAnsi="Arial" w:eastAsia="Arial" w:cs="Arial"/>
          <w:sz w:val="24"/>
          <w:szCs w:val="24"/>
        </w:rPr>
        <w:pBdr>
          <w:top w:val="none" w:color="000000" w:sz="4" w:space="0"/>
          <w:left w:val="none" w:color="000000" w:sz="4" w:space="0"/>
          <w:bottom w:val="none" w:color="000000" w:sz="4" w:space="0"/>
          <w:right w:val="none" w:color="000000" w:sz="4" w:space="0"/>
        </w:pBdr>
      </w:pPr>
      <w:r>
        <w:rPr>
          <w:rFonts w:ascii="Arial" w:hAnsi="Arial" w:eastAsia="Arial" w:cs="Arial"/>
          <w:color w:val="313131"/>
          <w:sz w:val="24"/>
        </w:rPr>
      </w:r>
      <w:r/>
      <w:r/>
    </w:p>
    <w:p>
      <w:r>
        <w:rPr>
          <w:highlight w:val="none"/>
        </w:rPr>
      </w:r>
      <w:r>
        <w:rPr>
          <w:highlight w:val="none"/>
        </w:rPr>
      </w:r>
      <w:r/>
    </w:p>
    <w:sectPr>
      <w:footnotePr/>
      <w:endnotePr/>
      <w:type w:val="nextPage"/>
      <w:pgSz w:w="11906" w:h="16838" w:orient="portrait"/>
      <w:pgMar w:top="1134" w:right="1134" w:bottom="1134"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Heading 1"/>
    <w:basedOn w:val="810"/>
    <w:next w:val="810"/>
    <w:link w:val="635"/>
    <w:uiPriority w:val="9"/>
    <w:qFormat/>
    <w:pPr>
      <w:keepLines/>
      <w:keepNext/>
      <w:spacing w:before="480" w:after="200"/>
      <w:outlineLvl w:val="0"/>
    </w:pPr>
    <w:rPr>
      <w:rFonts w:ascii="Arial" w:hAnsi="Arial" w:eastAsia="Arial" w:cs="Arial"/>
      <w:sz w:val="40"/>
      <w:szCs w:val="40"/>
    </w:rPr>
  </w:style>
  <w:style w:type="character" w:styleId="635">
    <w:name w:val="Heading 1 Char"/>
    <w:link w:val="634"/>
    <w:uiPriority w:val="9"/>
    <w:rPr>
      <w:rFonts w:ascii="Arial" w:hAnsi="Arial" w:eastAsia="Arial" w:cs="Arial"/>
      <w:sz w:val="40"/>
      <w:szCs w:val="40"/>
    </w:rPr>
  </w:style>
  <w:style w:type="paragraph" w:styleId="636">
    <w:name w:val="Heading 2"/>
    <w:basedOn w:val="810"/>
    <w:next w:val="810"/>
    <w:link w:val="637"/>
    <w:uiPriority w:val="9"/>
    <w:unhideWhenUsed/>
    <w:qFormat/>
    <w:pPr>
      <w:keepLines/>
      <w:keepNext/>
      <w:spacing w:before="360" w:after="200"/>
      <w:outlineLvl w:val="1"/>
    </w:pPr>
    <w:rPr>
      <w:rFonts w:ascii="Arial" w:hAnsi="Arial" w:eastAsia="Arial" w:cs="Arial"/>
      <w:sz w:val="34"/>
    </w:rPr>
  </w:style>
  <w:style w:type="character" w:styleId="637">
    <w:name w:val="Heading 2 Char"/>
    <w:link w:val="636"/>
    <w:uiPriority w:val="9"/>
    <w:rPr>
      <w:rFonts w:ascii="Arial" w:hAnsi="Arial" w:eastAsia="Arial" w:cs="Arial"/>
      <w:sz w:val="34"/>
    </w:rPr>
  </w:style>
  <w:style w:type="paragraph" w:styleId="638">
    <w:name w:val="Heading 3"/>
    <w:basedOn w:val="810"/>
    <w:next w:val="810"/>
    <w:link w:val="639"/>
    <w:uiPriority w:val="9"/>
    <w:unhideWhenUsed/>
    <w:qFormat/>
    <w:pPr>
      <w:keepLines/>
      <w:keepNext/>
      <w:spacing w:before="320" w:after="200"/>
      <w:outlineLvl w:val="2"/>
    </w:pPr>
    <w:rPr>
      <w:rFonts w:ascii="Arial" w:hAnsi="Arial" w:eastAsia="Arial" w:cs="Arial"/>
      <w:sz w:val="30"/>
      <w:szCs w:val="30"/>
    </w:rPr>
  </w:style>
  <w:style w:type="character" w:styleId="639">
    <w:name w:val="Heading 3 Char"/>
    <w:link w:val="638"/>
    <w:uiPriority w:val="9"/>
    <w:rPr>
      <w:rFonts w:ascii="Arial" w:hAnsi="Arial" w:eastAsia="Arial" w:cs="Arial"/>
      <w:sz w:val="30"/>
      <w:szCs w:val="30"/>
    </w:rPr>
  </w:style>
  <w:style w:type="paragraph" w:styleId="640">
    <w:name w:val="Heading 4"/>
    <w:basedOn w:val="810"/>
    <w:next w:val="810"/>
    <w:link w:val="641"/>
    <w:uiPriority w:val="9"/>
    <w:unhideWhenUsed/>
    <w:qFormat/>
    <w:pPr>
      <w:keepLines/>
      <w:keepNext/>
      <w:spacing w:before="320" w:after="200"/>
      <w:outlineLvl w:val="3"/>
    </w:pPr>
    <w:rPr>
      <w:rFonts w:ascii="Arial" w:hAnsi="Arial" w:eastAsia="Arial" w:cs="Arial"/>
      <w:b/>
      <w:bCs/>
      <w:sz w:val="26"/>
      <w:szCs w:val="26"/>
    </w:rPr>
  </w:style>
  <w:style w:type="character" w:styleId="641">
    <w:name w:val="Heading 4 Char"/>
    <w:link w:val="640"/>
    <w:uiPriority w:val="9"/>
    <w:rPr>
      <w:rFonts w:ascii="Arial" w:hAnsi="Arial" w:eastAsia="Arial" w:cs="Arial"/>
      <w:b/>
      <w:bCs/>
      <w:sz w:val="26"/>
      <w:szCs w:val="26"/>
    </w:rPr>
  </w:style>
  <w:style w:type="paragraph" w:styleId="642">
    <w:name w:val="Heading 5"/>
    <w:basedOn w:val="810"/>
    <w:next w:val="810"/>
    <w:link w:val="643"/>
    <w:uiPriority w:val="9"/>
    <w:unhideWhenUsed/>
    <w:qFormat/>
    <w:pPr>
      <w:keepLines/>
      <w:keepNext/>
      <w:spacing w:before="320" w:after="200"/>
      <w:outlineLvl w:val="4"/>
    </w:pPr>
    <w:rPr>
      <w:rFonts w:ascii="Arial" w:hAnsi="Arial" w:eastAsia="Arial" w:cs="Arial"/>
      <w:b/>
      <w:bCs/>
      <w:sz w:val="24"/>
      <w:szCs w:val="24"/>
    </w:rPr>
  </w:style>
  <w:style w:type="character" w:styleId="643">
    <w:name w:val="Heading 5 Char"/>
    <w:link w:val="642"/>
    <w:uiPriority w:val="9"/>
    <w:rPr>
      <w:rFonts w:ascii="Arial" w:hAnsi="Arial" w:eastAsia="Arial" w:cs="Arial"/>
      <w:b/>
      <w:bCs/>
      <w:sz w:val="24"/>
      <w:szCs w:val="24"/>
    </w:rPr>
  </w:style>
  <w:style w:type="paragraph" w:styleId="644">
    <w:name w:val="Heading 6"/>
    <w:basedOn w:val="810"/>
    <w:next w:val="810"/>
    <w:link w:val="645"/>
    <w:uiPriority w:val="9"/>
    <w:unhideWhenUsed/>
    <w:qFormat/>
    <w:pPr>
      <w:keepLines/>
      <w:keepNext/>
      <w:spacing w:before="320" w:after="200"/>
      <w:outlineLvl w:val="5"/>
    </w:pPr>
    <w:rPr>
      <w:rFonts w:ascii="Arial" w:hAnsi="Arial" w:eastAsia="Arial" w:cs="Arial"/>
      <w:b/>
      <w:bCs/>
      <w:sz w:val="22"/>
      <w:szCs w:val="22"/>
    </w:rPr>
  </w:style>
  <w:style w:type="character" w:styleId="645">
    <w:name w:val="Heading 6 Char"/>
    <w:link w:val="644"/>
    <w:uiPriority w:val="9"/>
    <w:rPr>
      <w:rFonts w:ascii="Arial" w:hAnsi="Arial" w:eastAsia="Arial" w:cs="Arial"/>
      <w:b/>
      <w:bCs/>
      <w:sz w:val="22"/>
      <w:szCs w:val="22"/>
    </w:rPr>
  </w:style>
  <w:style w:type="paragraph" w:styleId="646">
    <w:name w:val="Heading 7"/>
    <w:basedOn w:val="810"/>
    <w:next w:val="810"/>
    <w:link w:val="647"/>
    <w:uiPriority w:val="9"/>
    <w:unhideWhenUsed/>
    <w:qFormat/>
    <w:pPr>
      <w:keepLines/>
      <w:keepNext/>
      <w:spacing w:before="320" w:after="200"/>
      <w:outlineLvl w:val="6"/>
    </w:pPr>
    <w:rPr>
      <w:rFonts w:ascii="Arial" w:hAnsi="Arial" w:eastAsia="Arial" w:cs="Arial"/>
      <w:b/>
      <w:bCs/>
      <w:i/>
      <w:iCs/>
      <w:sz w:val="22"/>
      <w:szCs w:val="22"/>
    </w:rPr>
  </w:style>
  <w:style w:type="character" w:styleId="647">
    <w:name w:val="Heading 7 Char"/>
    <w:link w:val="646"/>
    <w:uiPriority w:val="9"/>
    <w:rPr>
      <w:rFonts w:ascii="Arial" w:hAnsi="Arial" w:eastAsia="Arial" w:cs="Arial"/>
      <w:b/>
      <w:bCs/>
      <w:i/>
      <w:iCs/>
      <w:sz w:val="22"/>
      <w:szCs w:val="22"/>
    </w:rPr>
  </w:style>
  <w:style w:type="paragraph" w:styleId="648">
    <w:name w:val="Heading 8"/>
    <w:basedOn w:val="810"/>
    <w:next w:val="810"/>
    <w:link w:val="649"/>
    <w:uiPriority w:val="9"/>
    <w:unhideWhenUsed/>
    <w:qFormat/>
    <w:pPr>
      <w:keepLines/>
      <w:keepNext/>
      <w:spacing w:before="320" w:after="200"/>
      <w:outlineLvl w:val="7"/>
    </w:pPr>
    <w:rPr>
      <w:rFonts w:ascii="Arial" w:hAnsi="Arial" w:eastAsia="Arial" w:cs="Arial"/>
      <w:i/>
      <w:iCs/>
      <w:sz w:val="22"/>
      <w:szCs w:val="22"/>
    </w:rPr>
  </w:style>
  <w:style w:type="character" w:styleId="649">
    <w:name w:val="Heading 8 Char"/>
    <w:link w:val="648"/>
    <w:uiPriority w:val="9"/>
    <w:rPr>
      <w:rFonts w:ascii="Arial" w:hAnsi="Arial" w:eastAsia="Arial" w:cs="Arial"/>
      <w:i/>
      <w:iCs/>
      <w:sz w:val="22"/>
      <w:szCs w:val="22"/>
    </w:rPr>
  </w:style>
  <w:style w:type="paragraph" w:styleId="650">
    <w:name w:val="Heading 9"/>
    <w:basedOn w:val="810"/>
    <w:next w:val="810"/>
    <w:link w:val="651"/>
    <w:uiPriority w:val="9"/>
    <w:unhideWhenUsed/>
    <w:qFormat/>
    <w:pPr>
      <w:keepLines/>
      <w:keepNext/>
      <w:spacing w:before="320" w:after="200"/>
      <w:outlineLvl w:val="8"/>
    </w:pPr>
    <w:rPr>
      <w:rFonts w:ascii="Arial" w:hAnsi="Arial" w:eastAsia="Arial" w:cs="Arial"/>
      <w:i/>
      <w:iCs/>
      <w:sz w:val="21"/>
      <w:szCs w:val="21"/>
    </w:rPr>
  </w:style>
  <w:style w:type="character" w:styleId="651">
    <w:name w:val="Heading 9 Char"/>
    <w:link w:val="650"/>
    <w:uiPriority w:val="9"/>
    <w:rPr>
      <w:rFonts w:ascii="Arial" w:hAnsi="Arial" w:eastAsia="Arial" w:cs="Arial"/>
      <w:i/>
      <w:iCs/>
      <w:sz w:val="21"/>
      <w:szCs w:val="21"/>
    </w:rPr>
  </w:style>
  <w:style w:type="paragraph" w:styleId="652">
    <w:name w:val="Title"/>
    <w:basedOn w:val="810"/>
    <w:next w:val="810"/>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10"/>
    <w:next w:val="810"/>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10"/>
    <w:next w:val="810"/>
    <w:link w:val="657"/>
    <w:uiPriority w:val="29"/>
    <w:qFormat/>
    <w:pPr>
      <w:ind w:left="720" w:right="720"/>
    </w:pPr>
    <w:rPr>
      <w:i/>
    </w:rPr>
  </w:style>
  <w:style w:type="character" w:styleId="657">
    <w:name w:val="Quote Char"/>
    <w:link w:val="656"/>
    <w:uiPriority w:val="29"/>
    <w:rPr>
      <w:i/>
    </w:rPr>
  </w:style>
  <w:style w:type="paragraph" w:styleId="658">
    <w:name w:val="Intense Quote"/>
    <w:basedOn w:val="810"/>
    <w:next w:val="810"/>
    <w:link w:val="65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10"/>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10"/>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10"/>
    <w:next w:val="810"/>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73">
    <w:name w:val="Grid Table 1 Light"/>
    <w:basedOn w:val="81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02">
    <w:name w:val="Grid Table 5 Dark- Accent 1"/>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03">
    <w:name w:val="Grid Table 5 Dark - Accent 2"/>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04">
    <w:name w:val="Grid Table 5 Dark - Accent 3"/>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05">
    <w:name w:val="Grid Table 5 Dark- Accent 4"/>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06">
    <w:name w:val="Grid Table 5 Dark - Accent 5"/>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07">
    <w:name w:val="Grid Table 5 Dark - Accent 6"/>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08">
    <w:name w:val="Grid Table 6 Colorful"/>
    <w:basedOn w:val="81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1"/>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1"/>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7">
    <w:name w:val="List Table 3 - Accent 1"/>
    <w:basedOn w:val="81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38">
    <w:name w:val="List Table 3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39">
    <w:name w:val="List Table 3 - Accent 3"/>
    <w:basedOn w:val="81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40">
    <w:name w:val="List Table 3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41">
    <w:name w:val="List Table 3 - Accent 5"/>
    <w:basedOn w:val="81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42">
    <w:name w:val="List Table 3 - Accent 6"/>
    <w:basedOn w:val="81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43">
    <w:name w:val="List Table 4"/>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44">
    <w:name w:val="List Table 4 - Accent 1"/>
    <w:basedOn w:val="81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45">
    <w:name w:val="List Table 4 - Accent 2"/>
    <w:basedOn w:val="81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46">
    <w:name w:val="List Table 4 - Accent 3"/>
    <w:basedOn w:val="81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47">
    <w:name w:val="List Table 4 - Accent 4"/>
    <w:basedOn w:val="81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48">
    <w:name w:val="List Table 4 - Accent 5"/>
    <w:basedOn w:val="81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749">
    <w:name w:val="List Table 4 - Accent 6"/>
    <w:basedOn w:val="81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50">
    <w:name w:val="List Table 5 Dark"/>
    <w:basedOn w:val="81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72">
    <w:name w:val="Lined - Accent 1"/>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773">
    <w:name w:val="Lined - Accent 2"/>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74">
    <w:name w:val="Lined - Accent 3"/>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75">
    <w:name w:val="Lined - Accent 4"/>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76">
    <w:name w:val="Lined - Accent 5"/>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777">
    <w:name w:val="Lined - Accent 6"/>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78">
    <w:name w:val="Bordered &amp; Lined - Accent"/>
    <w:basedOn w:val="81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79">
    <w:name w:val="Bordered &amp; Lined - Accent 1"/>
    <w:basedOn w:val="81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780">
    <w:name w:val="Bordered &amp; Lined - Accent 2"/>
    <w:basedOn w:val="81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81">
    <w:name w:val="Bordered &amp; Lined - Accent 3"/>
    <w:basedOn w:val="81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82">
    <w:name w:val="Bordered &amp; Lined - Accent 4"/>
    <w:basedOn w:val="81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83">
    <w:name w:val="Bordered &amp; Lined - Accent 5"/>
    <w:basedOn w:val="81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784">
    <w:name w:val="Bordered &amp; Lined - Accent 6"/>
    <w:basedOn w:val="81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85">
    <w:name w:val="Bordered"/>
    <w:basedOn w:val="81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10"/>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10"/>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10"/>
    <w:next w:val="810"/>
    <w:uiPriority w:val="39"/>
    <w:unhideWhenUsed/>
    <w:pPr>
      <w:ind w:left="0" w:right="0" w:firstLine="0"/>
      <w:spacing w:after="57"/>
    </w:pPr>
  </w:style>
  <w:style w:type="paragraph" w:styleId="800">
    <w:name w:val="toc 2"/>
    <w:basedOn w:val="810"/>
    <w:next w:val="810"/>
    <w:uiPriority w:val="39"/>
    <w:unhideWhenUsed/>
    <w:pPr>
      <w:ind w:left="283" w:right="0" w:firstLine="0"/>
      <w:spacing w:after="57"/>
    </w:pPr>
  </w:style>
  <w:style w:type="paragraph" w:styleId="801">
    <w:name w:val="toc 3"/>
    <w:basedOn w:val="810"/>
    <w:next w:val="810"/>
    <w:uiPriority w:val="39"/>
    <w:unhideWhenUsed/>
    <w:pPr>
      <w:ind w:left="567" w:right="0" w:firstLine="0"/>
      <w:spacing w:after="57"/>
    </w:pPr>
  </w:style>
  <w:style w:type="paragraph" w:styleId="802">
    <w:name w:val="toc 4"/>
    <w:basedOn w:val="810"/>
    <w:next w:val="810"/>
    <w:uiPriority w:val="39"/>
    <w:unhideWhenUsed/>
    <w:pPr>
      <w:ind w:left="850" w:right="0" w:firstLine="0"/>
      <w:spacing w:after="57"/>
    </w:pPr>
  </w:style>
  <w:style w:type="paragraph" w:styleId="803">
    <w:name w:val="toc 5"/>
    <w:basedOn w:val="810"/>
    <w:next w:val="810"/>
    <w:uiPriority w:val="39"/>
    <w:unhideWhenUsed/>
    <w:pPr>
      <w:ind w:left="1134" w:right="0" w:firstLine="0"/>
      <w:spacing w:after="57"/>
    </w:pPr>
  </w:style>
  <w:style w:type="paragraph" w:styleId="804">
    <w:name w:val="toc 6"/>
    <w:basedOn w:val="810"/>
    <w:next w:val="810"/>
    <w:uiPriority w:val="39"/>
    <w:unhideWhenUsed/>
    <w:pPr>
      <w:ind w:left="1417" w:right="0" w:firstLine="0"/>
      <w:spacing w:after="57"/>
    </w:pPr>
  </w:style>
  <w:style w:type="paragraph" w:styleId="805">
    <w:name w:val="toc 7"/>
    <w:basedOn w:val="810"/>
    <w:next w:val="810"/>
    <w:uiPriority w:val="39"/>
    <w:unhideWhenUsed/>
    <w:pPr>
      <w:ind w:left="1701" w:right="0" w:firstLine="0"/>
      <w:spacing w:after="57"/>
    </w:pPr>
  </w:style>
  <w:style w:type="paragraph" w:styleId="806">
    <w:name w:val="toc 8"/>
    <w:basedOn w:val="810"/>
    <w:next w:val="810"/>
    <w:uiPriority w:val="39"/>
    <w:unhideWhenUsed/>
    <w:pPr>
      <w:ind w:left="1984" w:right="0" w:firstLine="0"/>
      <w:spacing w:after="57"/>
    </w:pPr>
  </w:style>
  <w:style w:type="paragraph" w:styleId="807">
    <w:name w:val="toc 9"/>
    <w:basedOn w:val="810"/>
    <w:next w:val="810"/>
    <w:uiPriority w:val="39"/>
    <w:unhideWhenUsed/>
    <w:pPr>
      <w:ind w:left="2268" w:right="0" w:firstLine="0"/>
      <w:spacing w:after="57"/>
    </w:pPr>
  </w:style>
  <w:style w:type="paragraph" w:styleId="808">
    <w:name w:val="TOC Heading"/>
    <w:uiPriority w:val="39"/>
    <w:unhideWhenUsed/>
  </w:style>
  <w:style w:type="paragraph" w:styleId="809">
    <w:name w:val="table of figures"/>
    <w:basedOn w:val="810"/>
    <w:next w:val="810"/>
    <w:uiPriority w:val="99"/>
    <w:unhideWhenUsed/>
    <w:pPr>
      <w:spacing w:after="0" w:afterAutospacing="0"/>
    </w:pPr>
  </w:style>
  <w:style w:type="paragraph" w:styleId="810" w:default="1">
    <w:name w:val="Normal"/>
    <w:qFormat/>
  </w:style>
  <w:style w:type="table" w:styleId="811" w:default="1">
    <w:name w:val="Normal Table"/>
    <w:uiPriority w:val="99"/>
    <w:semiHidden/>
    <w:unhideWhenUsed/>
    <w:tblPr>
      <w:tblInd w:w="0" w:type="dxa"/>
      <w:tblCellMar>
        <w:left w:w="108" w:type="dxa"/>
        <w:top w:w="0" w:type="dxa"/>
        <w:right w:w="108" w:type="dxa"/>
        <w:bottom w:w="0" w:type="dxa"/>
      </w:tblCellMar>
    </w:tblPr>
  </w:style>
  <w:style w:type="numbering" w:styleId="812" w:default="1">
    <w:name w:val="No List"/>
    <w:uiPriority w:val="99"/>
    <w:semiHidden/>
    <w:unhideWhenUsed/>
  </w:style>
  <w:style w:type="paragraph" w:styleId="813">
    <w:name w:val="No Spacing"/>
    <w:basedOn w:val="810"/>
    <w:uiPriority w:val="1"/>
    <w:qFormat/>
    <w:pPr>
      <w:spacing w:after="0" w:line="240" w:lineRule="auto"/>
    </w:pPr>
  </w:style>
  <w:style w:type="paragraph" w:styleId="814">
    <w:name w:val="List Paragraph"/>
    <w:basedOn w:val="810"/>
    <w:uiPriority w:val="34"/>
    <w:qFormat/>
    <w:pPr>
      <w:contextualSpacing/>
      <w:ind w:left="720"/>
    </w:pPr>
  </w:style>
  <w:style w:type="character" w:styleId="815" w:default="1">
    <w:name w:val="Default Paragraph Font"/>
    <w:uiPriority w:val="1"/>
    <w:semiHidden/>
    <w:unhideWhenUsed/>
  </w:style>
  <w:style w:type="paragraph" w:styleId="816" w:customStyle="1">
    <w:name w:val="Normal (Web)"/>
    <w:uiPriority w:val="99"/>
    <w:semiHidden/>
    <w:unhideWhenUsed/>
    <w:pPr>
      <w:contextualSpacing w:val="0"/>
      <w:ind w:left="0" w:right="0" w:firstLine="0"/>
      <w:jc w:val="left"/>
      <w:keepLines w:val="0"/>
      <w:keepNext w:val="0"/>
      <w:pageBreakBefore w:val="0"/>
      <w:spacing w:before="100" w:beforeAutospacing="1" w:after="100" w:afterAutospacing="1"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Р7-Офис/7.2.2.0</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2026-02-21T12:04:53Z</dcterms:modified>
</cp:coreProperties>
</file>