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D566C">
      <w:pPr>
        <w:suppressLineNumbers/>
        <w:spacing w:line="360" w:lineRule="auto"/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Муниципальное бюджетное образовательное учреждение</w:t>
      </w:r>
    </w:p>
    <w:p w14:paraId="338D8B70">
      <w:pPr>
        <w:jc w:val="center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>дополнительного образования « Детская Школа Искусств №7».</w:t>
      </w:r>
    </w:p>
    <w:p w14:paraId="6E1242B7">
      <w:pPr>
        <w:jc w:val="center"/>
        <w:rPr>
          <w:b w:val="0"/>
          <w:bCs/>
          <w:sz w:val="28"/>
          <w:szCs w:val="28"/>
        </w:rPr>
      </w:pPr>
    </w:p>
    <w:p w14:paraId="4E90083A">
      <w:pPr>
        <w:jc w:val="center"/>
      </w:pPr>
    </w:p>
    <w:p w14:paraId="0EBE1B0F">
      <w:pPr>
        <w:jc w:val="center"/>
      </w:pPr>
    </w:p>
    <w:p w14:paraId="46F832F7">
      <w:pPr>
        <w:jc w:val="center"/>
      </w:pPr>
    </w:p>
    <w:p w14:paraId="1801AD99">
      <w:pPr>
        <w:jc w:val="center"/>
      </w:pPr>
    </w:p>
    <w:p w14:paraId="6B46BB05">
      <w:pPr>
        <w:jc w:val="center"/>
      </w:pPr>
    </w:p>
    <w:p w14:paraId="1C42DC48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Методический доклад</w:t>
      </w:r>
    </w:p>
    <w:p w14:paraId="628AC6E0">
      <w:pPr>
        <w:jc w:val="center"/>
        <w:rPr>
          <w:b/>
          <w:sz w:val="40"/>
          <w:szCs w:val="40"/>
          <w:u w:val="single"/>
        </w:rPr>
      </w:pPr>
    </w:p>
    <w:p w14:paraId="07957303">
      <w:pPr>
        <w:jc w:val="center"/>
        <w:rPr>
          <w:sz w:val="40"/>
          <w:szCs w:val="40"/>
        </w:rPr>
      </w:pPr>
    </w:p>
    <w:p w14:paraId="7001BE8C">
      <w:pPr>
        <w:jc w:val="center"/>
        <w:rPr>
          <w:sz w:val="40"/>
          <w:szCs w:val="40"/>
        </w:rPr>
      </w:pPr>
    </w:p>
    <w:p w14:paraId="43C533D0">
      <w:pPr>
        <w:jc w:val="center"/>
        <w:rPr>
          <w:rFonts w:cs="Estrangelo Edessa" w:asciiTheme="minorHAnsi" w:hAnsiTheme="minorHAnsi"/>
          <w:b/>
          <w:i/>
          <w:sz w:val="40"/>
          <w:szCs w:val="40"/>
        </w:rPr>
      </w:pPr>
      <w:r>
        <w:rPr>
          <w:rFonts w:ascii="Estrangelo Edessa" w:hAnsi="Estrangelo Edessa" w:cs="Estrangelo Edessa"/>
          <w:b/>
          <w:i/>
          <w:sz w:val="40"/>
          <w:szCs w:val="40"/>
        </w:rPr>
        <w:t>«</w:t>
      </w:r>
      <w:r>
        <w:rPr>
          <w:rFonts w:cs="Estrangelo Edessa"/>
          <w:b/>
          <w:i/>
          <w:sz w:val="40"/>
          <w:szCs w:val="40"/>
        </w:rPr>
        <w:t>Формирование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навыков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чтения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с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листа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на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начальном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этапе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обучения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у</w:t>
      </w:r>
      <w:r>
        <w:rPr>
          <w:rFonts w:ascii="Estrangelo Edessa" w:hAnsi="Estrangelo Edessa" w:cs="Estrangelo Edessa"/>
          <w:b/>
          <w:i/>
          <w:sz w:val="40"/>
          <w:szCs w:val="40"/>
        </w:rPr>
        <w:t xml:space="preserve"> </w:t>
      </w:r>
      <w:r>
        <w:rPr>
          <w:rFonts w:cs="Estrangelo Edessa"/>
          <w:b/>
          <w:i/>
          <w:sz w:val="40"/>
          <w:szCs w:val="40"/>
        </w:rPr>
        <w:t>пианистов</w:t>
      </w:r>
      <w:r>
        <w:rPr>
          <w:rFonts w:cs="Estrangelo Edessa" w:asciiTheme="minorHAnsi" w:hAnsiTheme="minorHAnsi"/>
          <w:b/>
          <w:i/>
          <w:sz w:val="40"/>
          <w:szCs w:val="40"/>
        </w:rPr>
        <w:t>»</w:t>
      </w:r>
    </w:p>
    <w:p w14:paraId="552D1375">
      <w:pPr>
        <w:jc w:val="center"/>
        <w:rPr>
          <w:rFonts w:cs="Estrangelo Edessa" w:asciiTheme="minorHAnsi" w:hAnsiTheme="minorHAnsi"/>
          <w:b/>
          <w:i/>
          <w:sz w:val="40"/>
          <w:szCs w:val="40"/>
        </w:rPr>
      </w:pPr>
    </w:p>
    <w:p w14:paraId="7678681E">
      <w:pPr>
        <w:jc w:val="center"/>
        <w:rPr>
          <w:rFonts w:cs="Estrangelo Edessa" w:asciiTheme="minorHAnsi" w:hAnsiTheme="minorHAnsi"/>
          <w:b/>
          <w:i/>
          <w:sz w:val="40"/>
          <w:szCs w:val="40"/>
        </w:rPr>
      </w:pPr>
    </w:p>
    <w:p w14:paraId="5760E45F">
      <w:pPr>
        <w:jc w:val="center"/>
        <w:rPr>
          <w:rFonts w:cs="Estrangelo Edessa" w:asciiTheme="minorHAnsi" w:hAnsiTheme="minorHAnsi"/>
          <w:b/>
          <w:i/>
          <w:sz w:val="40"/>
          <w:szCs w:val="40"/>
        </w:rPr>
      </w:pPr>
    </w:p>
    <w:p w14:paraId="06CC0E20">
      <w:pPr>
        <w:jc w:val="center"/>
        <w:rPr>
          <w:rFonts w:cs="Estrangelo Edessa" w:asciiTheme="minorHAnsi" w:hAnsiTheme="minorHAnsi"/>
          <w:b/>
          <w:i/>
          <w:sz w:val="40"/>
          <w:szCs w:val="40"/>
        </w:rPr>
      </w:pPr>
    </w:p>
    <w:p w14:paraId="70B62078">
      <w:pPr>
        <w:jc w:val="right"/>
        <w:rPr>
          <w:sz w:val="28"/>
          <w:szCs w:val="28"/>
        </w:rPr>
      </w:pPr>
      <w:r>
        <w:rPr>
          <w:bCs/>
          <w:sz w:val="28"/>
          <w:szCs w:val="28"/>
        </w:rPr>
        <w:t xml:space="preserve">Выпoлнила </w:t>
      </w:r>
      <w:r>
        <w:rPr>
          <w:sz w:val="28"/>
          <w:szCs w:val="28"/>
        </w:rPr>
        <w:t>: Палеева Ольга Леонидовна,</w:t>
      </w:r>
    </w:p>
    <w:p w14:paraId="699E9BE2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преподаватель по классу фортепиано.</w:t>
      </w:r>
    </w:p>
    <w:p w14:paraId="48E0E750">
      <w:pPr>
        <w:jc w:val="right"/>
        <w:rPr>
          <w:sz w:val="28"/>
          <w:szCs w:val="28"/>
        </w:rPr>
      </w:pPr>
    </w:p>
    <w:p w14:paraId="5EF7543A">
      <w:pPr>
        <w:jc w:val="right"/>
        <w:rPr>
          <w:sz w:val="28"/>
          <w:szCs w:val="28"/>
        </w:rPr>
      </w:pPr>
    </w:p>
    <w:p w14:paraId="38D2F432">
      <w:pPr>
        <w:jc w:val="right"/>
        <w:rPr>
          <w:sz w:val="28"/>
          <w:szCs w:val="28"/>
        </w:rPr>
      </w:pPr>
    </w:p>
    <w:p w14:paraId="048A9F18">
      <w:pPr>
        <w:jc w:val="right"/>
        <w:rPr>
          <w:sz w:val="28"/>
          <w:szCs w:val="28"/>
        </w:rPr>
      </w:pPr>
    </w:p>
    <w:p w14:paraId="22CFC758">
      <w:pPr>
        <w:jc w:val="right"/>
        <w:rPr>
          <w:sz w:val="28"/>
          <w:szCs w:val="28"/>
        </w:rPr>
      </w:pPr>
    </w:p>
    <w:p w14:paraId="2911C957">
      <w:pPr>
        <w:jc w:val="right"/>
        <w:rPr>
          <w:sz w:val="28"/>
          <w:szCs w:val="28"/>
        </w:rPr>
      </w:pPr>
    </w:p>
    <w:p w14:paraId="3F72B038">
      <w:pPr>
        <w:jc w:val="right"/>
        <w:rPr>
          <w:sz w:val="28"/>
          <w:szCs w:val="28"/>
        </w:rPr>
      </w:pPr>
    </w:p>
    <w:p w14:paraId="07713FE3">
      <w:pPr>
        <w:jc w:val="right"/>
        <w:rPr>
          <w:sz w:val="28"/>
          <w:szCs w:val="28"/>
        </w:rPr>
      </w:pPr>
    </w:p>
    <w:p w14:paraId="134C4345">
      <w:pPr>
        <w:jc w:val="right"/>
        <w:rPr>
          <w:sz w:val="28"/>
          <w:szCs w:val="28"/>
        </w:rPr>
      </w:pPr>
    </w:p>
    <w:p w14:paraId="7D74AC55">
      <w:pPr>
        <w:jc w:val="right"/>
        <w:rPr>
          <w:sz w:val="28"/>
          <w:szCs w:val="28"/>
        </w:rPr>
      </w:pPr>
    </w:p>
    <w:p w14:paraId="2C1AF861">
      <w:pPr>
        <w:jc w:val="right"/>
        <w:rPr>
          <w:sz w:val="28"/>
          <w:szCs w:val="28"/>
        </w:rPr>
      </w:pPr>
    </w:p>
    <w:p w14:paraId="685E05A2">
      <w:pPr>
        <w:jc w:val="right"/>
        <w:rPr>
          <w:sz w:val="28"/>
          <w:szCs w:val="28"/>
        </w:rPr>
      </w:pPr>
    </w:p>
    <w:p w14:paraId="6EB02945">
      <w:pPr>
        <w:jc w:val="right"/>
        <w:rPr>
          <w:sz w:val="28"/>
          <w:szCs w:val="28"/>
        </w:rPr>
      </w:pPr>
    </w:p>
    <w:p w14:paraId="4BE91C33">
      <w:pPr>
        <w:jc w:val="right"/>
        <w:rPr>
          <w:sz w:val="28"/>
          <w:szCs w:val="28"/>
        </w:rPr>
      </w:pPr>
    </w:p>
    <w:p w14:paraId="51AB6B54">
      <w:pPr>
        <w:jc w:val="right"/>
        <w:rPr>
          <w:sz w:val="28"/>
          <w:szCs w:val="28"/>
        </w:rPr>
      </w:pPr>
    </w:p>
    <w:p w14:paraId="3FF41D18">
      <w:pPr>
        <w:jc w:val="right"/>
        <w:rPr>
          <w:sz w:val="28"/>
          <w:szCs w:val="28"/>
        </w:rPr>
      </w:pPr>
    </w:p>
    <w:p w14:paraId="6618B1A5">
      <w:pPr>
        <w:jc w:val="right"/>
        <w:rPr>
          <w:sz w:val="28"/>
          <w:szCs w:val="28"/>
        </w:rPr>
      </w:pPr>
    </w:p>
    <w:p w14:paraId="13CFF26A">
      <w:pPr>
        <w:jc w:val="right"/>
        <w:rPr>
          <w:sz w:val="28"/>
          <w:szCs w:val="28"/>
        </w:rPr>
      </w:pPr>
    </w:p>
    <w:p w14:paraId="6219EB51">
      <w:pPr>
        <w:jc w:val="center"/>
        <w:rPr>
          <w:sz w:val="28"/>
          <w:szCs w:val="28"/>
        </w:rPr>
      </w:pPr>
      <w:r>
        <w:rPr>
          <w:sz w:val="28"/>
          <w:szCs w:val="28"/>
        </w:rPr>
        <w:t>г.Курск, 202</w:t>
      </w:r>
      <w:r>
        <w:rPr>
          <w:rFonts w:hint="default"/>
          <w:sz w:val="28"/>
          <w:szCs w:val="28"/>
          <w:lang w:val="ru-RU"/>
        </w:rPr>
        <w:t>6</w:t>
      </w:r>
      <w:bookmarkStart w:id="0" w:name="_GoBack"/>
      <w:bookmarkEnd w:id="0"/>
      <w:r>
        <w:rPr>
          <w:sz w:val="28"/>
          <w:szCs w:val="28"/>
        </w:rPr>
        <w:t>г.</w:t>
      </w:r>
    </w:p>
    <w:p w14:paraId="57DB46D5">
      <w:pPr>
        <w:jc w:val="center"/>
        <w:rPr>
          <w:sz w:val="28"/>
          <w:szCs w:val="28"/>
        </w:rPr>
      </w:pPr>
    </w:p>
    <w:p w14:paraId="7D1186BF">
      <w:pPr>
        <w:shd w:val="clear" w:color="auto" w:fill="FFFFFF"/>
        <w:rPr>
          <w:rFonts w:ascii="Helvetica" w:hAnsi="Helvetica" w:cs="Helvetica"/>
          <w:color w:val="34343C"/>
          <w:sz w:val="23"/>
          <w:szCs w:val="23"/>
        </w:rPr>
      </w:pPr>
    </w:p>
    <w:p w14:paraId="36963E5B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 xml:space="preserve">           Научить ребенка грамотно читать с листа - одна из главнейших задач</w:t>
      </w:r>
    </w:p>
    <w:p w14:paraId="65223E94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педагога-пианиста. Умение легко разбирать нотный текст очень помогает</w:t>
      </w:r>
    </w:p>
    <w:p w14:paraId="645E5644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ребенку во время учебы: существенно расширяет его репертуар, приучает к</w:t>
      </w:r>
    </w:p>
    <w:p w14:paraId="3D694CB9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самостоятельной работе, а главное - делает процесс обучения более легким,</w:t>
      </w:r>
    </w:p>
    <w:p w14:paraId="7C316A2C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приятным, интересным. Но навык грамотного чтения нотного текста не</w:t>
      </w:r>
    </w:p>
    <w:p w14:paraId="08134F79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приходит из ниоткуда и не появляется сам по себе. Его нужно кропотливо и</w:t>
      </w:r>
    </w:p>
    <w:p w14:paraId="4DA53C58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терпеливо развивать, начиная с самых первых шагов маленького пианиста.</w:t>
      </w:r>
    </w:p>
    <w:p w14:paraId="5F103AA1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Несмотря на то, что проблемой чтения нот с листа занимались многие</w:t>
      </w:r>
    </w:p>
    <w:p w14:paraId="14D88BBB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выдающиеся педагоги-музыканты, и существует многочисленная литература</w:t>
      </w:r>
    </w:p>
    <w:p w14:paraId="6CB44557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на эту тему, в данном вопросе еще не выработана единая и четкая методика.</w:t>
      </w:r>
    </w:p>
    <w:p w14:paraId="4C9B74FB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Основной темой работы является рассмотрение вопросов, связанных с</w:t>
      </w:r>
    </w:p>
    <w:p w14:paraId="1F1A715E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развитием навыков чтения нотного текста с листа у учащихся-пианистов</w:t>
      </w:r>
    </w:p>
    <w:p w14:paraId="1BACA1EE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младших классов ДМШ и ДШИ. Современная жизнь ставит, как перед общей</w:t>
      </w:r>
    </w:p>
    <w:p w14:paraId="14A8B248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педагогикой в целом, так и перед музыкальной педагогикой в частности,</w:t>
      </w:r>
    </w:p>
    <w:p w14:paraId="5F141CE2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задачи интенсивного обучения и развития детей. В этих условиях все больше</w:t>
      </w:r>
    </w:p>
    <w:p w14:paraId="4903D1DD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возрастает роль факультативных предметов (или предметов по выбору),</w:t>
      </w:r>
    </w:p>
    <w:p w14:paraId="0ABE1349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считающихся в ДМШ необязательными и очень ограниченными во времени:</w:t>
      </w:r>
    </w:p>
    <w:p w14:paraId="6B65DB56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ансамбль, аккомпанемент, чтение с листа. Тем не менее, без этих учебных</w:t>
      </w:r>
    </w:p>
    <w:p w14:paraId="665E3FDE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дисциплин невозможно из 6-7-летнего малыша вырастить ни профессионального музыканта, ни всесторонне развитого любителя музыки.</w:t>
      </w:r>
    </w:p>
    <w:p w14:paraId="2EFCFF82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Далеко не все выпускники детских музыкальных школ поступают в</w:t>
      </w:r>
    </w:p>
    <w:p w14:paraId="4A9209FB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музыкальные училища. Однако связь их с музыкальным искусством не должна прекращаться. Поэтому наряду с профессиональной ориентацией, перед</w:t>
      </w:r>
    </w:p>
    <w:p w14:paraId="3CD28161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детскими музыкальными школами стоит важнейшая задача: научить детей</w:t>
      </w:r>
    </w:p>
    <w:p w14:paraId="0F7C09D8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активно использовать свои знания и умения в самодеятельности, школе, быту, возродить почти утраченные теперь традиции домашнего музицирования.</w:t>
      </w:r>
    </w:p>
    <w:p w14:paraId="7FDE490E">
      <w:pPr>
        <w:shd w:val="clear" w:color="auto" w:fill="FFFFFF"/>
        <w:spacing w:line="360" w:lineRule="auto"/>
        <w:rPr>
          <w:color w:val="34343C"/>
          <w:sz w:val="28"/>
          <w:szCs w:val="28"/>
        </w:rPr>
      </w:pPr>
    </w:p>
    <w:p w14:paraId="745E12DB">
      <w:pPr>
        <w:shd w:val="clear" w:color="auto" w:fill="FFFFFF"/>
        <w:jc w:val="both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Практика показывает, что способности к беглому чтению нотного текста -</w:t>
      </w:r>
    </w:p>
    <w:p w14:paraId="26073350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один из важнейших факторов развития музыкальных способностей.</w:t>
      </w:r>
    </w:p>
    <w:p w14:paraId="4E44C0E3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Способности человека в музыке проявляются неравномерно, избирательно.</w:t>
      </w:r>
    </w:p>
    <w:p w14:paraId="471EF9C0">
      <w:pPr>
        <w:shd w:val="clear" w:color="auto" w:fill="FFFFFF"/>
        <w:spacing w:line="360" w:lineRule="auto"/>
        <w:rPr>
          <w:color w:val="34343C"/>
          <w:sz w:val="28"/>
          <w:szCs w:val="28"/>
        </w:rPr>
      </w:pPr>
      <w:r>
        <w:rPr>
          <w:color w:val="34343C"/>
          <w:sz w:val="28"/>
          <w:szCs w:val="28"/>
        </w:rPr>
        <w:t>Одни проявляют себя в сольном исполнительстве, другие работают   концертмейстерами, третьи становятся композиторами. Одним учащимся легко дается заучивание пьесы наизусть, и они редко заглядывают в ноты. Другие, напротив, с удовольствием работают по нотам и неохотно играют музыку напамять.</w:t>
      </w:r>
    </w:p>
    <w:p w14:paraId="6988B601">
      <w:pPr>
        <w:keepNext w:val="0"/>
        <w:keepLines w:val="0"/>
        <w:widowControl/>
        <w:suppressLineNumbers w:val="0"/>
        <w:shd w:val="clear" w:fill="FFFFFF"/>
        <w:spacing w:line="360" w:lineRule="auto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color w:val="333333"/>
          <w:sz w:val="28"/>
          <w:szCs w:val="28"/>
          <w:shd w:val="clear" w:color="auto" w:fill="FFFFFF"/>
        </w:rPr>
        <w:t>Разработкой проблемы чтения нот с листа занимались многие виднейшие педагоги-пианисты и музыканты - Л.А. Баренбойм, Т.Л. Беркман, Ф.Д. Брянская, Р.А. Верхолаз, М.О. Лерман, Т.И. Смирнова, К.А. Цатурян, Г.М. Цыпин, Г.И. Шахов и другие. Но проблема чтения нот с листа по-прежнему остается актуальной, несмотря на достаточную разработанность этой темы в музыкальной педагогике</w:t>
      </w:r>
      <w:r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>..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  <w:shd w:val="clear" w:fill="FFFFFF"/>
        </w:rPr>
        <w:t>Многие мастера, отмечая своеобразие чтения с листа, говорят о том,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что в процессе беглого проигрывания «не все прочитывается, как следует» (Г.Нейгауз), допускаются и «ноты фальшивые» (М. Гринберг) и «темп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приблизительный» (К. Игумнов). Но, при всей «приблизительности» игры с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листа, оно является, прежде всего, свободным и увлеченным исполнением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музыки.</w:t>
      </w:r>
    </w:p>
    <w:p w14:paraId="20771BAA">
      <w:pPr>
        <w:spacing w:line="360" w:lineRule="auto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14:paraId="297E238F">
      <w:pPr>
        <w:pStyle w:val="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Эффективность занятий во многом зависит от того, удастся ли педагогу вызвать у ребенка устойчивый интерес к игре по нотам. При этом необходимо придерживаться жанрово-стилевого подбора произведений для чтения с листа. Таким образом, педагог сможет расширить исполнительский опыт и музыкальный кругозор ученика.</w:t>
      </w:r>
    </w:p>
    <w:p w14:paraId="29920FE6">
      <w:pPr>
        <w:pStyle w:val="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Подбор учащимся материала следует вести постепенно, учитывая один из основных педагогических принципов от простого к сложному, от легких тональностей переходить к более сложным, осваивая расположение нот на дополнительных линейках, более сложные ритмические соотношения, разнообразные формы изложения и т. д.</w:t>
      </w:r>
    </w:p>
    <w:p w14:paraId="35598208">
      <w:pPr>
        <w:pStyle w:val="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Наиболее сложной задачей для ребенка является чтение с листа двумя руками одновременно. На первом этапе целесообразно давать пьесы, для которых характерно параллельное движение голосов в октаву. Далее необходимо развивать у учащегося умение осмысленно читать нотный текст одновременно </w:t>
      </w:r>
      <w:r>
        <w:rPr>
          <w:b/>
          <w:bCs/>
          <w:color w:val="333333"/>
          <w:sz w:val="28"/>
          <w:szCs w:val="28"/>
        </w:rPr>
        <w:t>по горизонтали и вертикали.</w:t>
      </w:r>
      <w:r>
        <w:rPr>
          <w:color w:val="333333"/>
          <w:sz w:val="28"/>
          <w:szCs w:val="28"/>
        </w:rPr>
        <w:t xml:space="preserve"> Для этого подбираются произведения с мелодией в одной аппликатурной позиции и выдержанными звуками, интервалами или аккордами в аккомпанементе.</w:t>
      </w:r>
    </w:p>
    <w:p w14:paraId="04C98248">
      <w:pPr>
        <w:pStyle w:val="4"/>
        <w:shd w:val="clear" w:color="auto" w:fill="FFFFFF"/>
        <w:spacing w:before="0" w:beforeAutospacing="0" w:after="135" w:afterAutospacing="0" w:line="360" w:lineRule="auto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Важными составляющими навыка чтения нот с листа является, во-первых, свободная ориентировка пальцев и рук на клавиатуре, а во-вторых - аппликатурная техника. Этого можно достичь при игре гамм, аккордов, арпеджио, а также в процессе транспонирования.</w:t>
      </w:r>
    </w:p>
    <w:p w14:paraId="0AC6E9FA">
      <w:pPr>
        <w:pStyle w:val="4"/>
        <w:shd w:val="clear" w:color="auto" w:fill="FFFFFF"/>
        <w:spacing w:before="0" w:beforeAutospacing="0" w:after="135" w:afterAutospacing="0" w:line="360" w:lineRule="auto"/>
        <w:rPr>
          <w:rFonts w:hint="default"/>
          <w:color w:val="333333"/>
          <w:sz w:val="28"/>
          <w:szCs w:val="28"/>
          <w:lang w:val="ru-RU"/>
        </w:rPr>
      </w:pPr>
      <w:r>
        <w:rPr>
          <w:color w:val="333333"/>
          <w:sz w:val="28"/>
          <w:szCs w:val="28"/>
        </w:rPr>
        <w:t>Большое внимание в работе с детьми уделяется ансамблевому чтению с листа. На занятиях используем нетрудные переложения классических произведений, музыку из мультфильмов, что развивает музыкальный кругозор и в то же время повышает интерес детей к чтению с листа. Дети играют в ансамбле с различными вариантами распределения партий: учитель-ученик, два ученика, два ученика и учитель. Этот метод придает уроку элемент игры, а также вырабатывает у учащихся умение предельно концентр</w:t>
      </w:r>
      <w:r>
        <w:rPr>
          <w:color w:val="333333"/>
          <w:sz w:val="28"/>
          <w:szCs w:val="28"/>
          <w:lang w:val="ru-RU"/>
        </w:rPr>
        <w:t>ировать</w:t>
      </w:r>
      <w:r>
        <w:rPr>
          <w:rFonts w:hint="default"/>
          <w:color w:val="333333"/>
          <w:sz w:val="28"/>
          <w:szCs w:val="28"/>
          <w:lang w:val="ru-RU"/>
        </w:rPr>
        <w:t xml:space="preserve"> внимание на незнакомом нотном тексте.</w:t>
      </w:r>
    </w:p>
    <w:p w14:paraId="7A624031">
      <w:pPr>
        <w:keepNext w:val="0"/>
        <w:keepLines w:val="0"/>
        <w:widowControl/>
        <w:suppressLineNumbers w:val="0"/>
        <w:shd w:val="clear" w:fill="FFFFFF"/>
        <w:spacing w:line="360" w:lineRule="auto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Еще одн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важн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ая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>составляющая чтения с листа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- догадка. Это фундаментальное свойство беглого чтения позволяет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ru-RU" w:eastAsia="zh-CN" w:bidi="ar"/>
        </w:rPr>
        <w:t xml:space="preserve"> 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предвосхищать развертывание музыкального текста, предугадывать в общих</w:t>
      </w:r>
    </w:p>
    <w:p w14:paraId="3256C656">
      <w:pPr>
        <w:keepNext w:val="0"/>
        <w:keepLines w:val="0"/>
        <w:widowControl/>
        <w:suppressLineNumbers w:val="0"/>
        <w:shd w:val="clear" w:fill="FFFFFF"/>
        <w:spacing w:line="360" w:lineRule="auto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чертах его ближайшие моменты. «Чтение с листа в значительной степени</w:t>
      </w:r>
    </w:p>
    <w:p w14:paraId="7AD706B7">
      <w:pPr>
        <w:keepNext w:val="0"/>
        <w:keepLines w:val="0"/>
        <w:widowControl/>
        <w:suppressLineNumbers w:val="0"/>
        <w:shd w:val="clear" w:fill="FFFFFF"/>
        <w:spacing w:line="360" w:lineRule="auto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sz w:val="28"/>
          <w:szCs w:val="28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сводится к предугадыванию, как вы можете убедиться, проанализировав свое</w:t>
      </w:r>
    </w:p>
    <w:p w14:paraId="5FFD2FB2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  <w:t>чтение книг», - напоминает И. Гофман.</w:t>
      </w:r>
    </w:p>
    <w:p w14:paraId="117D2E0E"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Times New Roman" w:hAnsi="Times New Roman" w:eastAsia="Helvetica" w:cs="Times New Roman"/>
          <w:i w:val="0"/>
          <w:iCs w:val="0"/>
          <w:caps w:val="0"/>
          <w:color w:val="34343C"/>
          <w:spacing w:val="0"/>
          <w:kern w:val="0"/>
          <w:sz w:val="28"/>
          <w:szCs w:val="28"/>
          <w:shd w:val="clear" w:fill="FFFFFF"/>
          <w:lang w:val="en-US" w:eastAsia="zh-CN" w:bidi="ar"/>
        </w:rPr>
      </w:pPr>
    </w:p>
    <w:p w14:paraId="6B8190F2">
      <w:pPr>
        <w:pStyle w:val="4"/>
        <w:shd w:val="clear" w:color="auto" w:fill="FFFFFF"/>
        <w:spacing w:before="0" w:beforeAutospacing="0" w:after="135" w:afterAutospacing="0" w:line="360" w:lineRule="auto"/>
        <w:rPr>
          <w:rFonts w:hint="default" w:ascii="Times New Roman" w:hAnsi="Times New Roman" w:cs="Times New Roman"/>
          <w:color w:val="333333"/>
          <w:sz w:val="28"/>
          <w:szCs w:val="28"/>
          <w:lang w:val="ru-RU"/>
        </w:rPr>
      </w:pPr>
    </w:p>
    <w:p w14:paraId="4B15B7ED">
      <w:pPr>
        <w:spacing w:line="360" w:lineRule="auto"/>
        <w:rPr>
          <w:sz w:val="36"/>
          <w:szCs w:val="36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Estrangelo Edessa">
    <w:panose1 w:val="03080600000000000000"/>
    <w:charset w:val="00"/>
    <w:family w:val="script"/>
    <w:pitch w:val="default"/>
    <w:sig w:usb0="80002043" w:usb1="00000000" w:usb2="00000080" w:usb3="00000000" w:csb0="00000001" w:csb1="00000000"/>
  </w:font>
  <w:font w:name="Helvetica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attachedTemplate r:id="rId1"/>
  <w:documentProtection w:enforcement="0"/>
  <w:defaultTabStop w:val="708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033CBA"/>
    <w:rsid w:val="000E58D3"/>
    <w:rsid w:val="00274F1E"/>
    <w:rsid w:val="003F49ED"/>
    <w:rsid w:val="00462B9E"/>
    <w:rsid w:val="004E31DB"/>
    <w:rsid w:val="004F4AF8"/>
    <w:rsid w:val="0064447D"/>
    <w:rsid w:val="006444AB"/>
    <w:rsid w:val="00844FCB"/>
    <w:rsid w:val="008F5E85"/>
    <w:rsid w:val="00977BC9"/>
    <w:rsid w:val="009E56B8"/>
    <w:rsid w:val="009E796D"/>
    <w:rsid w:val="00B80802"/>
    <w:rsid w:val="00C154AC"/>
    <w:rsid w:val="00D62F44"/>
    <w:rsid w:val="00E15403"/>
    <w:rsid w:val="00E5026E"/>
    <w:rsid w:val="08F72413"/>
    <w:rsid w:val="13C6568D"/>
    <w:rsid w:val="1C3D235B"/>
    <w:rsid w:val="22E81581"/>
    <w:rsid w:val="56033CBA"/>
    <w:rsid w:val="6E35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customStyle="1" w:styleId="5">
    <w:name w:val="Название Знак"/>
    <w:qFormat/>
    <w:uiPriority w:val="0"/>
    <w:rPr>
      <w:rFonts w:ascii="Calibri" w:hAnsi="Calibri" w:eastAsia="Calibri" w:cs="Calibri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60;&#1054;&#1056;&#1052;&#1048;&#1056;&#1054;&#1042;&#1040;&#1053;&#1048;&#1045;%20&#1053;&#1040;&#1042;&#1067;&#1050;&#1054;&#1042;%20&#1063;&#1058;&#1045;&#1053;&#1048;&#1071;%20&#1057;%20&#1051;&#1048;&#1057;&#1058;&#1040;(&#1060;&#1045;&#1042;&#1056;&#1040;&#1051;&#1068;)(2026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ФОРМИРОВАНИЕ НАВЫКОВ ЧТЕНИЯ С ЛИСТА(ФЕВРАЛЬ)(2026).dotx</Template>
  <Pages>4</Pages>
  <Words>629</Words>
  <Characters>4141</Characters>
  <Lines>34</Lines>
  <Paragraphs>9</Paragraphs>
  <TotalTime>30</TotalTime>
  <ScaleCrop>false</ScaleCrop>
  <LinksUpToDate>false</LinksUpToDate>
  <CharactersWithSpaces>4743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2025-11-18T12:11:00Z</dcterms:created>
  <dc:creator>User</dc:creator>
  <cp:lastModifiedBy>User</cp:lastModifiedBy>
  <dcterms:modified xsi:type="dcterms:W3CDTF">2026-01-01T16:18:30Z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921B2311559647189BD7627D04F131FF_11</vt:lpwstr>
  </property>
  <property fmtid="{D5CDD505-2E9C-101B-9397-08002B2CF9AE}" pid="3" name="KSOProductBuildVer">
    <vt:lpwstr>1049-12.2.0.23196</vt:lpwstr>
  </property>
</Properties>
</file>