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A5BC2">
      <w:pPr>
        <w:pStyle w:val="8"/>
        <w:shd w:val="clear" w:color="auto" w:fill="FFFFFF"/>
        <w:jc w:val="both"/>
        <w:rPr>
          <w:rStyle w:val="7"/>
          <w:rFonts w:ascii="Times New Roman" w:hAnsi="Times New Roman" w:cs="Times New Roman"/>
          <w:color w:val="0F1115"/>
          <w:sz w:val="28"/>
          <w:szCs w:val="28"/>
          <w:shd w:val="clear" w:color="auto" w:fill="FFFFFF"/>
        </w:rPr>
      </w:pPr>
      <w:r>
        <w:rPr>
          <w:rStyle w:val="7"/>
          <w:rFonts w:ascii="Times New Roman" w:hAnsi="Times New Roman" w:cs="Times New Roman"/>
          <w:color w:val="0F1115"/>
          <w:sz w:val="28"/>
          <w:szCs w:val="28"/>
          <w:shd w:val="clear" w:color="auto" w:fill="FFFFFF"/>
        </w:rPr>
        <w:t>УДК 338:504:625.7</w:t>
      </w:r>
    </w:p>
    <w:p w14:paraId="45422018">
      <w:pPr>
        <w:pStyle w:val="8"/>
        <w:shd w:val="clear" w:color="auto" w:fill="FFFFFF"/>
        <w:jc w:val="both"/>
        <w:rPr>
          <w:rStyle w:val="7"/>
          <w:rFonts w:ascii="Times New Roman" w:hAnsi="Times New Roman" w:eastAsia="Segoe UI" w:cs="Times New Roman"/>
          <w:b w:val="0"/>
          <w:bCs w:val="0"/>
          <w:color w:val="0F1115"/>
          <w:sz w:val="28"/>
          <w:szCs w:val="28"/>
          <w:shd w:val="clear" w:color="auto" w:fill="FFFFFF"/>
          <w:lang w:val="ru-RU"/>
        </w:rPr>
      </w:pPr>
    </w:p>
    <w:p w14:paraId="67C47A77">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jc w:val="center"/>
        <w:textAlignment w:val="auto"/>
        <w:rPr>
          <w:rFonts w:hint="default" w:ascii="Times New Roman" w:hAnsi="Times New Roman" w:eastAsia="Segoe UI" w:cs="Times New Roman"/>
          <w:i w:val="0"/>
          <w:iCs w:val="0"/>
          <w:caps w:val="0"/>
          <w:color w:val="0F1115"/>
          <w:spacing w:val="0"/>
          <w:sz w:val="28"/>
          <w:szCs w:val="28"/>
          <w:shd w:val="clear" w:fill="FFFFFF"/>
        </w:rPr>
      </w:pPr>
      <w:r>
        <w:rPr>
          <w:rFonts w:hint="default" w:ascii="Times New Roman" w:hAnsi="Times New Roman" w:eastAsia="Segoe UI" w:cs="Times New Roman"/>
          <w:i w:val="0"/>
          <w:iCs w:val="0"/>
          <w:caps w:val="0"/>
          <w:color w:val="0F1115"/>
          <w:spacing w:val="0"/>
          <w:sz w:val="28"/>
          <w:szCs w:val="28"/>
          <w:shd w:val="clear" w:fill="FFFFFF"/>
          <w:lang w:val="ru-RU"/>
        </w:rPr>
        <w:t>И.Ф. Гафиатуллин</w:t>
      </w:r>
      <w:r>
        <w:rPr>
          <w:rFonts w:hint="default" w:ascii="Times New Roman" w:hAnsi="Times New Roman" w:eastAsia="Segoe UI" w:cs="Times New Roman"/>
          <w:i w:val="0"/>
          <w:iCs w:val="0"/>
          <w:caps w:val="0"/>
          <w:color w:val="0F1115"/>
          <w:spacing w:val="0"/>
          <w:sz w:val="28"/>
          <w:szCs w:val="28"/>
          <w:shd w:val="clear" w:fill="FFFFFF"/>
        </w:rPr>
        <w:t xml:space="preserve">, </w:t>
      </w:r>
      <w:r>
        <w:rPr>
          <w:rFonts w:hint="default" w:ascii="Times New Roman" w:hAnsi="Times New Roman" w:eastAsia="Segoe UI" w:cs="Times New Roman"/>
          <w:i w:val="0"/>
          <w:iCs w:val="0"/>
          <w:caps w:val="0"/>
          <w:color w:val="0F1115"/>
          <w:spacing w:val="0"/>
          <w:sz w:val="28"/>
          <w:szCs w:val="28"/>
          <w:shd w:val="clear" w:fill="FFFFFF"/>
          <w:lang w:val="ru-RU"/>
        </w:rPr>
        <w:t>И</w:t>
      </w:r>
      <w:r>
        <w:rPr>
          <w:rFonts w:hint="default" w:ascii="Times New Roman" w:hAnsi="Times New Roman" w:eastAsia="Segoe UI" w:cs="Times New Roman"/>
          <w:i w:val="0"/>
          <w:iCs w:val="0"/>
          <w:caps w:val="0"/>
          <w:color w:val="0F1115"/>
          <w:spacing w:val="0"/>
          <w:sz w:val="28"/>
          <w:szCs w:val="28"/>
          <w:shd w:val="clear" w:fill="FFFFFF"/>
        </w:rPr>
        <w:t>.</w:t>
      </w:r>
      <w:r>
        <w:rPr>
          <w:rFonts w:hint="default" w:ascii="Times New Roman" w:hAnsi="Times New Roman" w:eastAsia="Segoe UI" w:cs="Times New Roman"/>
          <w:i w:val="0"/>
          <w:iCs w:val="0"/>
          <w:caps w:val="0"/>
          <w:color w:val="0F1115"/>
          <w:spacing w:val="0"/>
          <w:sz w:val="28"/>
          <w:szCs w:val="28"/>
          <w:shd w:val="clear" w:fill="FFFFFF"/>
          <w:lang w:val="ru-RU"/>
        </w:rPr>
        <w:t>А</w:t>
      </w:r>
      <w:r>
        <w:rPr>
          <w:rFonts w:hint="default" w:ascii="Times New Roman" w:hAnsi="Times New Roman" w:eastAsia="Segoe UI" w:cs="Times New Roman"/>
          <w:i w:val="0"/>
          <w:iCs w:val="0"/>
          <w:caps w:val="0"/>
          <w:color w:val="0F1115"/>
          <w:spacing w:val="0"/>
          <w:sz w:val="28"/>
          <w:szCs w:val="28"/>
          <w:shd w:val="clear" w:fill="FFFFFF"/>
        </w:rPr>
        <w:t xml:space="preserve">. Кутлияров, </w:t>
      </w:r>
      <w:r>
        <w:rPr>
          <w:rFonts w:hint="default" w:ascii="Times New Roman" w:hAnsi="Times New Roman" w:eastAsia="Segoe UI" w:cs="Times New Roman"/>
          <w:i w:val="0"/>
          <w:iCs w:val="0"/>
          <w:caps w:val="0"/>
          <w:color w:val="0F1115"/>
          <w:spacing w:val="0"/>
          <w:sz w:val="28"/>
          <w:szCs w:val="28"/>
          <w:shd w:val="clear" w:fill="FFFFFF"/>
          <w:lang w:val="ru-RU"/>
        </w:rPr>
        <w:t>А</w:t>
      </w:r>
      <w:r>
        <w:rPr>
          <w:rFonts w:hint="default" w:ascii="Times New Roman" w:hAnsi="Times New Roman" w:eastAsia="Segoe UI" w:cs="Times New Roman"/>
          <w:i w:val="0"/>
          <w:iCs w:val="0"/>
          <w:caps w:val="0"/>
          <w:color w:val="0F1115"/>
          <w:spacing w:val="0"/>
          <w:sz w:val="28"/>
          <w:szCs w:val="28"/>
          <w:shd w:val="clear" w:fill="FFFFFF"/>
        </w:rPr>
        <w:t>.</w:t>
      </w:r>
      <w:r>
        <w:rPr>
          <w:rFonts w:hint="default" w:ascii="Times New Roman" w:hAnsi="Times New Roman" w:eastAsia="Segoe UI" w:cs="Times New Roman"/>
          <w:i w:val="0"/>
          <w:iCs w:val="0"/>
          <w:caps w:val="0"/>
          <w:color w:val="0F1115"/>
          <w:spacing w:val="0"/>
          <w:sz w:val="28"/>
          <w:szCs w:val="28"/>
          <w:shd w:val="clear" w:fill="FFFFFF"/>
          <w:lang w:val="ru-RU"/>
        </w:rPr>
        <w:t>Н</w:t>
      </w:r>
      <w:r>
        <w:rPr>
          <w:rFonts w:hint="default" w:ascii="Times New Roman" w:hAnsi="Times New Roman" w:eastAsia="Segoe UI" w:cs="Times New Roman"/>
          <w:i w:val="0"/>
          <w:iCs w:val="0"/>
          <w:caps w:val="0"/>
          <w:color w:val="0F1115"/>
          <w:spacing w:val="0"/>
          <w:sz w:val="28"/>
          <w:szCs w:val="28"/>
          <w:shd w:val="clear" w:fill="FFFFFF"/>
        </w:rPr>
        <w:t>. Кутлияров</w:t>
      </w:r>
    </w:p>
    <w:p w14:paraId="3432A2A3">
      <w:pPr>
        <w:pStyle w:val="8"/>
        <w:shd w:val="clear" w:color="auto" w:fill="FFFFFF"/>
        <w:jc w:val="center"/>
        <w:rPr>
          <w:rStyle w:val="7"/>
          <w:rFonts w:ascii="Times New Roman" w:hAnsi="Times New Roman" w:eastAsia="Segoe UI" w:cs="Times New Roman"/>
          <w:b w:val="0"/>
          <w:bCs w:val="0"/>
          <w:color w:val="0F1115"/>
          <w:sz w:val="28"/>
          <w:szCs w:val="28"/>
          <w:shd w:val="clear" w:color="auto" w:fill="FFFFFF"/>
        </w:rPr>
      </w:pPr>
      <w:bookmarkStart w:id="0" w:name="_GoBack"/>
      <w:bookmarkEnd w:id="0"/>
    </w:p>
    <w:p w14:paraId="27E75AEC">
      <w:pPr>
        <w:pStyle w:val="8"/>
        <w:shd w:val="clear" w:color="auto" w:fill="FFFFFF"/>
        <w:jc w:val="center"/>
        <w:rPr>
          <w:rStyle w:val="7"/>
          <w:rFonts w:ascii="Times New Roman" w:hAnsi="Times New Roman" w:eastAsia="Segoe UI" w:cs="Times New Roman"/>
          <w:b w:val="0"/>
          <w:bCs w:val="0"/>
          <w:color w:val="0F1115"/>
          <w:sz w:val="28"/>
          <w:szCs w:val="28"/>
          <w:shd w:val="clear" w:color="auto" w:fill="FFFFFF"/>
          <w:lang w:val="ru-RU"/>
        </w:rPr>
      </w:pPr>
      <w:r>
        <w:rPr>
          <w:rStyle w:val="7"/>
          <w:rFonts w:ascii="Times New Roman" w:hAnsi="Times New Roman" w:eastAsia="Segoe UI" w:cs="Times New Roman"/>
          <w:b w:val="0"/>
          <w:bCs w:val="0"/>
          <w:color w:val="0F1115"/>
          <w:sz w:val="28"/>
          <w:szCs w:val="28"/>
          <w:shd w:val="clear" w:color="auto" w:fill="FFFFFF"/>
          <w:lang w:val="ru-RU"/>
        </w:rPr>
        <w:t>ФГБОУ ВО Башкирский ГАУ, Уфа, Россия</w:t>
      </w:r>
    </w:p>
    <w:p w14:paraId="7BC36A85">
      <w:pPr>
        <w:pStyle w:val="8"/>
        <w:shd w:val="clear" w:color="auto" w:fill="FFFFFF"/>
        <w:jc w:val="both"/>
        <w:rPr>
          <w:rStyle w:val="7"/>
          <w:rFonts w:ascii="Times New Roman" w:hAnsi="Times New Roman" w:eastAsia="Segoe UI" w:cs="Times New Roman"/>
          <w:b w:val="0"/>
          <w:bCs w:val="0"/>
          <w:color w:val="0F1115"/>
          <w:sz w:val="28"/>
          <w:szCs w:val="28"/>
          <w:shd w:val="clear" w:color="auto" w:fill="FFFFFF"/>
        </w:rPr>
      </w:pPr>
    </w:p>
    <w:p w14:paraId="3CF34B5D">
      <w:pPr>
        <w:pStyle w:val="8"/>
        <w:shd w:val="clear" w:color="auto" w:fill="FFFFFF"/>
        <w:jc w:val="center"/>
        <w:rPr>
          <w:rStyle w:val="7"/>
          <w:rFonts w:ascii="Times New Roman" w:hAnsi="Times New Roman" w:eastAsia="Segoe UI" w:cs="Times New Roman"/>
          <w:color w:val="0F1115"/>
          <w:sz w:val="28"/>
          <w:szCs w:val="28"/>
          <w:shd w:val="clear" w:color="auto" w:fill="FFFFFF"/>
          <w:lang w:val="ru-RU"/>
        </w:rPr>
      </w:pPr>
      <w:r>
        <w:rPr>
          <w:rStyle w:val="7"/>
          <w:rFonts w:ascii="Times New Roman" w:hAnsi="Times New Roman" w:eastAsia="Segoe UI" w:cs="Times New Roman"/>
          <w:color w:val="0F1115"/>
          <w:sz w:val="28"/>
          <w:szCs w:val="28"/>
          <w:shd w:val="clear" w:color="auto" w:fill="FFFFFF"/>
          <w:lang w:val="ru-RU"/>
        </w:rPr>
        <w:t>ЭКОЛОГО-ЭКОНОМИЧЕСКИЕ ПРОБЛЕМЫ В СТРОИТЕЛЬСТВЕ ДОРОГ</w:t>
      </w:r>
    </w:p>
    <w:p w14:paraId="6361C708">
      <w:pPr>
        <w:pStyle w:val="9"/>
        <w:shd w:val="clear" w:color="auto" w:fill="FFFFFF"/>
        <w:spacing w:before="0" w:beforeAutospacing="0" w:after="0" w:afterAutospacing="0"/>
        <w:ind w:firstLine="709"/>
        <w:jc w:val="both"/>
        <w:rPr>
          <w:color w:val="0F1115"/>
          <w:sz w:val="28"/>
          <w:szCs w:val="28"/>
        </w:rPr>
      </w:pPr>
      <w:r>
        <w:rPr>
          <w:rStyle w:val="7"/>
          <w:color w:val="0F1115"/>
          <w:sz w:val="28"/>
          <w:szCs w:val="28"/>
        </w:rPr>
        <w:t>Аннотация</w:t>
      </w:r>
      <w:r>
        <w:rPr>
          <w:color w:val="0F1115"/>
          <w:sz w:val="28"/>
          <w:szCs w:val="28"/>
        </w:rPr>
        <w:t>. В статье рассматриваются актуальные эколого-экономические противоречия, возникающие на всех этапах жизненного цикла объектов дорожной инфраструктуры. Анализируется воздействие дорожного строительства на окружающую среду, выражающееся в изъятии земельных ресурсов, загрязнении атмосферы и водных объектов, образовании отходов. Особое внимание уделяется экономическому механизму компенсации ущерба, эффективности применения «зеленых» стандартов и концепции жизненного цикла. Автором предложена классификация проблем и обозначены пути минимизации негативных последствий при реализации инфраструктурных проектов.</w:t>
      </w:r>
    </w:p>
    <w:p w14:paraId="4759690A">
      <w:pPr>
        <w:pStyle w:val="9"/>
        <w:shd w:val="clear" w:color="auto" w:fill="FFFFFF"/>
        <w:spacing w:before="0" w:beforeAutospacing="0" w:after="0" w:afterAutospacing="0"/>
        <w:ind w:firstLine="709"/>
        <w:jc w:val="both"/>
        <w:rPr>
          <w:color w:val="0F1115"/>
          <w:sz w:val="28"/>
          <w:szCs w:val="28"/>
        </w:rPr>
      </w:pPr>
      <w:r>
        <w:rPr>
          <w:rStyle w:val="7"/>
          <w:color w:val="0F1115"/>
          <w:sz w:val="28"/>
          <w:szCs w:val="28"/>
        </w:rPr>
        <w:t>Ключевые слова:</w:t>
      </w:r>
      <w:r>
        <w:rPr>
          <w:color w:val="0F1115"/>
          <w:sz w:val="28"/>
          <w:szCs w:val="28"/>
        </w:rPr>
        <w:t xml:space="preserve"> дорожное строительство, экологический ущерб, экономическая оценка, устойчивое развитие, жизненный цикл, природоохранные технологии.</w:t>
      </w:r>
    </w:p>
    <w:p w14:paraId="553EFB4D">
      <w:pPr>
        <w:shd w:val="clear" w:color="auto" w:fill="FFFFFF"/>
        <w:spacing w:after="0" w:line="240" w:lineRule="auto"/>
        <w:ind w:firstLine="709"/>
        <w:jc w:val="both"/>
        <w:rPr>
          <w:rFonts w:ascii="Times New Roman" w:hAnsi="Times New Roman" w:eastAsia="Times New Roman" w:cs="Times New Roman"/>
          <w:color w:val="0F1115"/>
          <w:sz w:val="28"/>
          <w:szCs w:val="28"/>
          <w:u w:val="single"/>
          <w:lang w:eastAsia="ru-RU"/>
        </w:rPr>
      </w:pPr>
      <w:r>
        <w:rPr>
          <w:rFonts w:ascii="Times New Roman" w:hAnsi="Times New Roman" w:eastAsia="Times New Roman" w:cs="Times New Roman"/>
          <w:b/>
          <w:bCs/>
          <w:color w:val="0F1115"/>
          <w:sz w:val="28"/>
          <w:szCs w:val="28"/>
          <w:u w:val="single"/>
          <w:lang w:eastAsia="ru-RU"/>
        </w:rPr>
        <w:t>Введение</w:t>
      </w:r>
    </w:p>
    <w:p w14:paraId="146F506A">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Развитие транспортной инфраструктуры является ключевым драйвером экономического роста любой страны. Дорожное строительство обеспечивает мобильность населения, снижает логистические издержки и способствует интеграции регионов. Однако стремительное увеличение плотности дорожной сети неизбежно вступает в конфликт с интересами охраны окружающей среды.</w:t>
      </w:r>
    </w:p>
    <w:p w14:paraId="4B24BB4C">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Современная парадигма «устойчивого развития» требует пересмотра традиционных подходов к проектированию и строительству автодорог. Сегодня недостаточно обеспечить только технико-эксплуатационные характеристики объекта (прочность, ровность, сцепление). Приоритетом становится минимизация совокупного экологического следа. Как справедливо отмечают исследователи, «экономия на природоохранных мероприятиях на этапе строительства приводит к многократно большим затратам на ликвидацию последствий в будущем» [1].</w:t>
      </w:r>
    </w:p>
    <w:p w14:paraId="7BE99187">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b/>
          <w:bCs/>
          <w:color w:val="0F1115"/>
          <w:sz w:val="28"/>
          <w:szCs w:val="28"/>
          <w:u w:val="single"/>
          <w:lang w:eastAsia="ru-RU"/>
        </w:rPr>
        <w:t>Целью</w:t>
      </w:r>
      <w:r>
        <w:rPr>
          <w:rFonts w:ascii="Times New Roman" w:hAnsi="Times New Roman" w:eastAsia="Times New Roman" w:cs="Times New Roman"/>
          <w:color w:val="0F1115"/>
          <w:sz w:val="28"/>
          <w:szCs w:val="28"/>
          <w:lang w:eastAsia="ru-RU"/>
        </w:rPr>
        <w:t xml:space="preserve"> данной работы является систематизация эколого-экономических проблем в дорожном хозяйстве и анализ инструментов, позволяющих сбалансировать фискальные интересы государства и требования экологической безопасности.</w:t>
      </w:r>
    </w:p>
    <w:p w14:paraId="3282354D">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Процесс строительства автомобильной дороги представляет собой сложный комплекс работ, каждый из которых является источником техногенного воздействия. Классифицируя эти воздействия, можно выделить три основные группы, имеющие различную экономическую природу.</w:t>
      </w:r>
    </w:p>
    <w:p w14:paraId="2551F35A">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Строительство дороги требует отвода земель под полотно, резервы, технологические проезды и карьеры. Данный процесс влечет за собой необратимую трансформацию почвенного покрова. Экономическая проблема здесь заключается в возникновении «упущенной выгоды»: земли сельскохозяйственного назначения или лесного фонда выводятся из хозяйственного оборота. Согласно Земельному кодексу, убытки, включая упущенную выгоду, подлежат возмещению в полном объеме [2]. Однако на практике кадастровая оценка часто занижена и не учитывает экосистемные услуги, которые предоставляла данная территория (регуляция климата, очистка воды,биоразнообразие).</w:t>
      </w:r>
    </w:p>
    <w:p w14:paraId="1E1C3035">
      <w:pPr>
        <w:shd w:val="clear" w:color="auto" w:fill="FFFFFF"/>
        <w:spacing w:after="0" w:line="240" w:lineRule="auto"/>
        <w:ind w:firstLine="709"/>
        <w:jc w:val="center"/>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drawing>
          <wp:inline distT="0" distB="0" distL="114300" distR="114300">
            <wp:extent cx="4653280" cy="3570605"/>
            <wp:effectExtent l="0" t="0" r="13970" b="10795"/>
            <wp:docPr id="1" name="Изображение 1" descr="вукарукркр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вукарукркрп"/>
                    <pic:cNvPicPr>
                      <a:picLocks noChangeAspect="1"/>
                    </pic:cNvPicPr>
                  </pic:nvPicPr>
                  <pic:blipFill>
                    <a:blip r:embed="rId6"/>
                    <a:stretch>
                      <a:fillRect/>
                    </a:stretch>
                  </pic:blipFill>
                  <pic:spPr>
                    <a:xfrm>
                      <a:off x="0" y="0"/>
                      <a:ext cx="4653280" cy="3570605"/>
                    </a:xfrm>
                    <a:prstGeom prst="rect">
                      <a:avLst/>
                    </a:prstGeom>
                  </pic:spPr>
                </pic:pic>
              </a:graphicData>
            </a:graphic>
          </wp:inline>
        </w:drawing>
      </w:r>
    </w:p>
    <w:p w14:paraId="1FD45B24">
      <w:pPr>
        <w:keepNext w:val="0"/>
        <w:keepLines w:val="0"/>
        <w:widowControl/>
        <w:suppressLineNumbers w:val="0"/>
        <w:jc w:val="left"/>
        <w:rPr>
          <w:rFonts w:hint="default" w:ascii="Times New Roman" w:hAnsi="Times New Roman" w:eastAsia="Arial" w:cs="Times New Roman"/>
          <w:color w:val="202124"/>
          <w:sz w:val="28"/>
          <w:szCs w:val="28"/>
          <w:u w:val="none"/>
        </w:rPr>
      </w:pPr>
      <w:r>
        <w:rPr>
          <w:rFonts w:ascii="Times New Roman" w:hAnsi="Times New Roman" w:eastAsia="Times New Roman" w:cs="Times New Roman"/>
          <w:color w:val="0F1115"/>
          <w:sz w:val="28"/>
          <w:szCs w:val="28"/>
          <w:lang w:eastAsia="ru-RU"/>
        </w:rPr>
        <w:t>Рисунок</w:t>
      </w:r>
      <w:r>
        <w:rPr>
          <w:rFonts w:hint="default" w:ascii="Times New Roman" w:hAnsi="Times New Roman" w:eastAsia="Times New Roman" w:cs="Times New Roman"/>
          <w:color w:val="0F1115"/>
          <w:sz w:val="28"/>
          <w:szCs w:val="28"/>
          <w:lang w:val="en-US" w:eastAsia="ru-RU"/>
        </w:rPr>
        <w:t xml:space="preserve"> 1 </w:t>
      </w:r>
      <w:r>
        <w:rPr>
          <w:rFonts w:hint="default" w:ascii="Times New Roman" w:hAnsi="Times New Roman" w:eastAsia="SimSun" w:cs="Times New Roman"/>
          <w:i w:val="0"/>
          <w:iCs w:val="0"/>
          <w:caps w:val="0"/>
          <w:color w:val="202124"/>
          <w:spacing w:val="0"/>
          <w:kern w:val="0"/>
          <w:sz w:val="28"/>
          <w:szCs w:val="28"/>
          <w:u w:val="none"/>
          <w:shd w:val="clear" w:fill="FFFFFF"/>
          <w:lang w:val="en-US" w:eastAsia="zh-CN" w:bidi="ar"/>
        </w:rPr>
        <w:fldChar w:fldCharType="begin"/>
      </w:r>
      <w:r>
        <w:rPr>
          <w:rFonts w:hint="default" w:ascii="Times New Roman" w:hAnsi="Times New Roman" w:eastAsia="SimSun" w:cs="Times New Roman"/>
          <w:i w:val="0"/>
          <w:iCs w:val="0"/>
          <w:caps w:val="0"/>
          <w:color w:val="202124"/>
          <w:spacing w:val="0"/>
          <w:kern w:val="0"/>
          <w:sz w:val="28"/>
          <w:szCs w:val="28"/>
          <w:u w:val="none"/>
          <w:shd w:val="clear" w:fill="FFFFFF"/>
          <w:lang w:val="en-US" w:eastAsia="zh-CN" w:bidi="ar"/>
        </w:rPr>
        <w:instrText xml:space="preserve"> HYPERLINK "https://files.stroyinf.ru/Data1/49/49291/index.htm" \t "https://www.google.com/_blank" </w:instrText>
      </w:r>
      <w:r>
        <w:rPr>
          <w:rFonts w:hint="default" w:ascii="Times New Roman" w:hAnsi="Times New Roman" w:eastAsia="SimSun" w:cs="Times New Roman"/>
          <w:i w:val="0"/>
          <w:iCs w:val="0"/>
          <w:caps w:val="0"/>
          <w:color w:val="202124"/>
          <w:spacing w:val="0"/>
          <w:kern w:val="0"/>
          <w:sz w:val="28"/>
          <w:szCs w:val="28"/>
          <w:u w:val="none"/>
          <w:shd w:val="clear" w:fill="FFFFFF"/>
          <w:lang w:val="en-US" w:eastAsia="zh-CN" w:bidi="ar"/>
        </w:rPr>
        <w:fldChar w:fldCharType="separate"/>
      </w:r>
      <w:r>
        <w:rPr>
          <w:rStyle w:val="6"/>
          <w:rFonts w:hint="default" w:ascii="Times New Roman" w:hAnsi="Times New Roman" w:eastAsia="Arial" w:cs="Times New Roman"/>
          <w:i w:val="0"/>
          <w:iCs w:val="0"/>
          <w:caps w:val="0"/>
          <w:color w:val="202124"/>
          <w:spacing w:val="0"/>
          <w:sz w:val="28"/>
          <w:szCs w:val="28"/>
          <w:u w:val="none"/>
          <w:shd w:val="clear" w:fill="FFFFFF"/>
        </w:rPr>
        <w:t>Автомобильные дороги. Проблемы экологии при строительстве и эксплуатации автомобильных дорог</w:t>
      </w:r>
    </w:p>
    <w:p w14:paraId="29A20816">
      <w:pPr>
        <w:keepNext w:val="0"/>
        <w:keepLines w:val="0"/>
        <w:pageBreakBefore w:val="0"/>
        <w:widowControl/>
        <w:suppressLineNumbers w:val="0"/>
        <w:kinsoku/>
        <w:wordWrap/>
        <w:overflowPunct/>
        <w:topLinePunct w:val="0"/>
        <w:autoSpaceDE/>
        <w:autoSpaceDN/>
        <w:bidi w:val="0"/>
        <w:adjustRightInd/>
        <w:snapToGrid/>
        <w:spacing w:after="0" w:line="240" w:lineRule="auto"/>
        <w:ind w:firstLine="709"/>
        <w:jc w:val="both"/>
        <w:textAlignment w:val="auto"/>
        <w:rPr>
          <w:rFonts w:ascii="Times New Roman" w:hAnsi="Times New Roman" w:eastAsia="Times New Roman" w:cs="Times New Roman"/>
          <w:color w:val="0F1115"/>
          <w:sz w:val="28"/>
          <w:szCs w:val="28"/>
          <w:lang w:eastAsia="ru-RU"/>
        </w:rPr>
      </w:pPr>
      <w:r>
        <w:rPr>
          <w:rFonts w:hint="default" w:ascii="Times New Roman" w:hAnsi="Times New Roman" w:eastAsia="SimSun" w:cs="Times New Roman"/>
          <w:i w:val="0"/>
          <w:iCs w:val="0"/>
          <w:caps w:val="0"/>
          <w:color w:val="202124"/>
          <w:spacing w:val="0"/>
          <w:kern w:val="0"/>
          <w:sz w:val="28"/>
          <w:szCs w:val="28"/>
          <w:u w:val="none"/>
          <w:shd w:val="clear" w:fill="FFFFFF"/>
          <w:lang w:val="en-US" w:eastAsia="zh-CN" w:bidi="ar"/>
        </w:rPr>
        <w:fldChar w:fldCharType="end"/>
      </w:r>
      <w:r>
        <w:rPr>
          <w:rFonts w:ascii="Times New Roman" w:hAnsi="Times New Roman" w:eastAsia="Times New Roman" w:cs="Times New Roman"/>
          <w:color w:val="0F1115"/>
          <w:sz w:val="28"/>
          <w:szCs w:val="28"/>
          <w:lang w:eastAsia="ru-RU"/>
        </w:rPr>
        <w:t>В процессе строительства (работа двигателей внутреннего сгорания, сварка, транспортировка материалов) выделяется широкий спектр загрязняющих веществ. С точки зрения экономики, выбросы парниковых газов (CO₂, CH₄) создают отложенные финансовые обязательства, связанные с углеродным регулированием. Введение трансграничного углеродного налога делает вопрос декарбонизации строительной отрасли не столько экологическим, сколько экономическим [3]. Использование низкоуглеродных вяжущих материалов (например, золошлаковых смесей вместо портландцемента) позволяет снизить не только выбросы, но и себестоимость строительства.</w:t>
      </w:r>
    </w:p>
    <w:p w14:paraId="0B4F3FEC">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firstLine="709"/>
        <w:jc w:val="both"/>
        <w:textAlignment w:val="auto"/>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Дорожное строительство изменяет гидрологический режим территорий. Поверхностный сток с дорог содержит взвешенные вещества, нефтепродукты и противогололедные реагенты. Экономический ущерб выражается в затратах на восстановление водных экосистем и дополнительные циклы очистки воды для водоканалов. Существующие методики расчета предотвращенного ущерба зачастую не успевают актуализироваться под новые виды загрязнителей (микропластик от истирания шин, 6PPD-хинон) [4, c. 112].</w:t>
      </w:r>
    </w:p>
    <w:p w14:paraId="1EDA1356">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Корень эколого-экономических проблем кроется в классическом конфликте между частными и общественными издержками.</w:t>
      </w:r>
    </w:p>
    <w:p w14:paraId="6EFA4E50">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Загрязнение окружающей среды дорожно-строительной техникой является классическим примером отрицательного внешнего эффекта (экстерналии). Строительная компания не несет полных издержек от ухудшения здоровья населения или деградации экосистем. Государство пытается интернализировать эти экстерналии через систему платежей за негативное воздействие и штрафов за сверхлимитное загрязнение. Однако, как показывает анализ правоприменительной практики, размер платы за НВОС значительно ниже стоимости природоохранных мероприятий, что делает экономически невыгодным внедрение «зеленых» технологий [5].</w:t>
      </w:r>
    </w:p>
    <w:p w14:paraId="0271EE5F">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Строительство дорог в России регламентируется сметно-нормативной базой (ФЕР, ТЕР), которая обновляется с существенным отставанием от темпов развития технологий. В смету заложены традиционные материалы (щебень, песок, битум), в то время как использование вторичного сырья (резиновой крошки, переработанного асфальтобетона, фосфогипса) сталкивается с отсутствием расценок. Данный административный барьер тормозит развитие экономики замкнутого цикла в отрасли. Переход к ресурсно-индексному методу ценообразования должен частично решить эту проблему, однако процесс идет медленно [6].</w:t>
      </w:r>
    </w:p>
    <w:p w14:paraId="10CECD15">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Для преодоления обозначенных противоречий необходимо внедрение системы комплексного управления, основанной на балансе экологических требований и инвестиционной привлекательности.</w:t>
      </w:r>
    </w:p>
    <w:p w14:paraId="4B4623B6">
      <w:pPr>
        <w:keepNext w:val="0"/>
        <w:keepLines w:val="0"/>
        <w:widowControl/>
        <w:suppressLineNumbers w:val="0"/>
        <w:jc w:val="left"/>
        <w:rPr>
          <w:rFonts w:hint="default" w:ascii="Times New Roman" w:hAnsi="Times New Roman" w:cs="Times New Roman"/>
          <w:b w:val="0"/>
          <w:bCs w:val="0"/>
          <w:sz w:val="28"/>
          <w:szCs w:val="28"/>
        </w:rPr>
      </w:pPr>
      <w:r>
        <w:rPr>
          <w:rFonts w:hint="default" w:ascii="Times New Roman" w:hAnsi="Times New Roman" w:eastAsia="SimSun" w:cs="Times New Roman"/>
          <w:b w:val="0"/>
          <w:bCs w:val="0"/>
          <w:i w:val="0"/>
          <w:iCs w:val="0"/>
          <w:caps w:val="0"/>
          <w:color w:val="202124"/>
          <w:spacing w:val="0"/>
          <w:kern w:val="0"/>
          <w:sz w:val="28"/>
          <w:szCs w:val="28"/>
          <w:u w:val="none"/>
          <w:shd w:val="clear" w:fill="FFFFFF"/>
          <w:lang w:val="en-US" w:eastAsia="zh-CN" w:bidi="ar"/>
        </w:rPr>
        <w:drawing>
          <wp:inline distT="0" distB="0" distL="114300" distR="114300">
            <wp:extent cx="6116320" cy="2184400"/>
            <wp:effectExtent l="0" t="0" r="17780" b="6350"/>
            <wp:docPr id="3" name="Изображение 3" descr="Airbrush-IMAGE-ENHANCER-1770976653679-1770976653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3" descr="Airbrush-IMAGE-ENHANCER-1770976653679-1770976653679"/>
                    <pic:cNvPicPr>
                      <a:picLocks noChangeAspect="1"/>
                    </pic:cNvPicPr>
                  </pic:nvPicPr>
                  <pic:blipFill>
                    <a:blip r:embed="rId7"/>
                    <a:stretch>
                      <a:fillRect/>
                    </a:stretch>
                  </pic:blipFill>
                  <pic:spPr>
                    <a:xfrm>
                      <a:off x="0" y="0"/>
                      <a:ext cx="6116320" cy="2184400"/>
                    </a:xfrm>
                    <a:prstGeom prst="rect">
                      <a:avLst/>
                    </a:prstGeom>
                  </pic:spPr>
                </pic:pic>
              </a:graphicData>
            </a:graphic>
          </wp:inline>
        </w:drawing>
      </w:r>
      <w:r>
        <w:rPr>
          <w:rFonts w:hint="default" w:ascii="Times New Roman" w:hAnsi="Times New Roman" w:eastAsia="SimSun" w:cs="Times New Roman"/>
          <w:b w:val="0"/>
          <w:bCs w:val="0"/>
          <w:i w:val="0"/>
          <w:iCs w:val="0"/>
          <w:caps w:val="0"/>
          <w:color w:val="202124"/>
          <w:spacing w:val="0"/>
          <w:kern w:val="0"/>
          <w:sz w:val="28"/>
          <w:szCs w:val="28"/>
          <w:u w:val="none"/>
          <w:shd w:val="clear" w:fill="FFFFFF"/>
          <w:lang w:val="en-US" w:eastAsia="zh-CN" w:bidi="ar"/>
        </w:rPr>
        <w:fldChar w:fldCharType="begin"/>
      </w:r>
      <w:r>
        <w:rPr>
          <w:rFonts w:hint="default" w:ascii="Times New Roman" w:hAnsi="Times New Roman" w:eastAsia="SimSun" w:cs="Times New Roman"/>
          <w:b w:val="0"/>
          <w:bCs w:val="0"/>
          <w:i w:val="0"/>
          <w:iCs w:val="0"/>
          <w:caps w:val="0"/>
          <w:color w:val="202124"/>
          <w:spacing w:val="0"/>
          <w:kern w:val="0"/>
          <w:sz w:val="28"/>
          <w:szCs w:val="28"/>
          <w:u w:val="none"/>
          <w:shd w:val="clear" w:fill="FFFFFF"/>
          <w:lang w:val="en-US" w:eastAsia="zh-CN" w:bidi="ar"/>
        </w:rPr>
        <w:instrText xml:space="preserve"> HYPERLINK "https://1economic.ru/lib/118325" \t "https://www.google.com/_blank" </w:instrText>
      </w:r>
      <w:r>
        <w:rPr>
          <w:rFonts w:hint="default" w:ascii="Times New Roman" w:hAnsi="Times New Roman" w:eastAsia="SimSun" w:cs="Times New Roman"/>
          <w:b w:val="0"/>
          <w:bCs w:val="0"/>
          <w:i w:val="0"/>
          <w:iCs w:val="0"/>
          <w:caps w:val="0"/>
          <w:color w:val="202124"/>
          <w:spacing w:val="0"/>
          <w:kern w:val="0"/>
          <w:sz w:val="28"/>
          <w:szCs w:val="28"/>
          <w:u w:val="none"/>
          <w:shd w:val="clear" w:fill="FFFFFF"/>
          <w:lang w:val="en-US" w:eastAsia="zh-CN" w:bidi="ar"/>
        </w:rPr>
        <w:fldChar w:fldCharType="separate"/>
      </w:r>
    </w:p>
    <w:p w14:paraId="42719D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Arial" w:cs="Times New Roman"/>
          <w:b w:val="0"/>
          <w:bCs w:val="0"/>
          <w:color w:val="202124"/>
          <w:sz w:val="28"/>
          <w:szCs w:val="28"/>
          <w:u w:val="none"/>
          <w:lang w:val="ru-RU"/>
        </w:rPr>
      </w:pPr>
      <w:r>
        <w:rPr>
          <w:rFonts w:ascii="Times New Roman" w:hAnsi="Times New Roman" w:eastAsia="Times New Roman" w:cs="Times New Roman"/>
          <w:b w:val="0"/>
          <w:bCs w:val="0"/>
          <w:color w:val="0F1115"/>
          <w:sz w:val="28"/>
          <w:szCs w:val="28"/>
          <w:lang w:eastAsia="ru-RU"/>
        </w:rPr>
        <w:t>Рисунок</w:t>
      </w:r>
      <w:r>
        <w:rPr>
          <w:rStyle w:val="6"/>
          <w:rFonts w:hint="default" w:ascii="Times New Roman" w:hAnsi="Times New Roman" w:eastAsia="Arial" w:cs="Times New Roman"/>
          <w:b w:val="0"/>
          <w:bCs w:val="0"/>
          <w:i w:val="0"/>
          <w:iCs w:val="0"/>
          <w:caps w:val="0"/>
          <w:color w:val="202124"/>
          <w:spacing w:val="0"/>
          <w:sz w:val="28"/>
          <w:szCs w:val="28"/>
          <w:u w:val="none"/>
          <w:shd w:val="clear" w:fill="FFFFFF"/>
          <w:lang w:val="ru-RU"/>
        </w:rPr>
        <w:t xml:space="preserve"> 2 </w:t>
      </w:r>
      <w:r>
        <w:rPr>
          <w:rStyle w:val="6"/>
          <w:rFonts w:hint="default" w:ascii="Times New Roman" w:hAnsi="Times New Roman" w:eastAsia="Arial"/>
          <w:b w:val="0"/>
          <w:bCs w:val="0"/>
          <w:i w:val="0"/>
          <w:iCs w:val="0"/>
          <w:caps w:val="0"/>
          <w:color w:val="202124"/>
          <w:spacing w:val="0"/>
          <w:sz w:val="28"/>
          <w:szCs w:val="28"/>
          <w:u w:val="none"/>
          <w:shd w:val="clear" w:fill="FFFFFF"/>
          <w:lang w:val="ru-RU"/>
        </w:rPr>
        <w:t>Диаграмм</w:t>
      </w:r>
      <w:r>
        <w:rPr>
          <w:rStyle w:val="6"/>
          <w:rFonts w:hint="default" w:ascii="Times New Roman" w:hAnsi="Times New Roman" w:eastAsia="Arial" w:cs="Times New Roman"/>
          <w:b w:val="0"/>
          <w:bCs w:val="0"/>
          <w:i w:val="0"/>
          <w:iCs w:val="0"/>
          <w:caps w:val="0"/>
          <w:color w:val="202124"/>
          <w:spacing w:val="0"/>
          <w:sz w:val="28"/>
          <w:szCs w:val="28"/>
          <w:u w:val="none"/>
          <w:shd w:val="clear" w:fill="FFFFFF"/>
          <w:lang w:val="ru-RU"/>
        </w:rPr>
        <w:t>а р</w:t>
      </w:r>
      <w:r>
        <w:rPr>
          <w:rStyle w:val="6"/>
          <w:rFonts w:hint="default" w:ascii="Times New Roman" w:hAnsi="Times New Roman" w:eastAsia="Arial" w:cs="Times New Roman"/>
          <w:b w:val="0"/>
          <w:bCs w:val="0"/>
          <w:i w:val="0"/>
          <w:iCs w:val="0"/>
          <w:caps w:val="0"/>
          <w:color w:val="202124"/>
          <w:spacing w:val="0"/>
          <w:sz w:val="28"/>
          <w:szCs w:val="28"/>
          <w:u w:val="none"/>
          <w:shd w:val="clear" w:fill="FFFFFF"/>
        </w:rPr>
        <w:t>азвити</w:t>
      </w:r>
      <w:r>
        <w:rPr>
          <w:rStyle w:val="6"/>
          <w:rFonts w:hint="default" w:ascii="Times New Roman" w:hAnsi="Times New Roman" w:eastAsia="Arial" w:cs="Times New Roman"/>
          <w:b w:val="0"/>
          <w:bCs w:val="0"/>
          <w:i w:val="0"/>
          <w:iCs w:val="0"/>
          <w:caps w:val="0"/>
          <w:color w:val="202124"/>
          <w:spacing w:val="0"/>
          <w:sz w:val="28"/>
          <w:szCs w:val="28"/>
          <w:u w:val="none"/>
          <w:shd w:val="clear" w:fill="FFFFFF"/>
          <w:lang w:val="ru-RU"/>
        </w:rPr>
        <w:t>я</w:t>
      </w:r>
      <w:r>
        <w:rPr>
          <w:rStyle w:val="6"/>
          <w:rFonts w:hint="default" w:ascii="Times New Roman" w:hAnsi="Times New Roman" w:eastAsia="Arial" w:cs="Times New Roman"/>
          <w:b w:val="0"/>
          <w:bCs w:val="0"/>
          <w:i w:val="0"/>
          <w:iCs w:val="0"/>
          <w:caps w:val="0"/>
          <w:color w:val="202124"/>
          <w:spacing w:val="0"/>
          <w:sz w:val="28"/>
          <w:szCs w:val="28"/>
          <w:u w:val="none"/>
          <w:shd w:val="clear" w:fill="FFFFFF"/>
        </w:rPr>
        <w:t xml:space="preserve"> «зеленой» экономики как фактора обеспечения экономической безопасности региона (на примере Приморского края</w:t>
      </w:r>
      <w:r>
        <w:rPr>
          <w:rStyle w:val="6"/>
          <w:rFonts w:hint="default" w:ascii="Times New Roman" w:hAnsi="Times New Roman" w:eastAsia="Arial" w:cs="Times New Roman"/>
          <w:b w:val="0"/>
          <w:bCs w:val="0"/>
          <w:i w:val="0"/>
          <w:iCs w:val="0"/>
          <w:caps w:val="0"/>
          <w:color w:val="202124"/>
          <w:spacing w:val="0"/>
          <w:sz w:val="28"/>
          <w:szCs w:val="28"/>
          <w:u w:val="none"/>
          <w:shd w:val="clear" w:fill="FFFFFF"/>
          <w:lang w:val="ru-RU"/>
        </w:rPr>
        <w:t>)</w:t>
      </w:r>
    </w:p>
    <w:p w14:paraId="2914E25C">
      <w:pPr>
        <w:keepNext w:val="0"/>
        <w:keepLines w:val="0"/>
        <w:pageBreakBefore w:val="0"/>
        <w:widowControl/>
        <w:suppressLineNumbers w:val="0"/>
        <w:kinsoku/>
        <w:wordWrap/>
        <w:overflowPunct/>
        <w:topLinePunct w:val="0"/>
        <w:autoSpaceDE/>
        <w:autoSpaceDN/>
        <w:bidi w:val="0"/>
        <w:adjustRightInd/>
        <w:snapToGrid/>
        <w:spacing w:after="0" w:line="240" w:lineRule="auto"/>
        <w:ind w:firstLine="709"/>
        <w:jc w:val="both"/>
        <w:textAlignment w:val="auto"/>
        <w:rPr>
          <w:rFonts w:ascii="Times New Roman" w:hAnsi="Times New Roman" w:eastAsia="Times New Roman" w:cs="Times New Roman"/>
          <w:color w:val="0F1115"/>
          <w:sz w:val="28"/>
          <w:szCs w:val="28"/>
          <w:lang w:eastAsia="ru-RU"/>
        </w:rPr>
      </w:pPr>
      <w:r>
        <w:rPr>
          <w:rFonts w:hint="default" w:ascii="Times New Roman" w:hAnsi="Times New Roman" w:eastAsia="SimSun" w:cs="Times New Roman"/>
          <w:b w:val="0"/>
          <w:bCs w:val="0"/>
          <w:i w:val="0"/>
          <w:iCs w:val="0"/>
          <w:caps w:val="0"/>
          <w:color w:val="202124"/>
          <w:spacing w:val="0"/>
          <w:kern w:val="0"/>
          <w:sz w:val="28"/>
          <w:szCs w:val="28"/>
          <w:u w:val="none"/>
          <w:shd w:val="clear" w:fill="FFFFFF"/>
          <w:lang w:val="en-US" w:eastAsia="zh-CN" w:bidi="ar"/>
        </w:rPr>
        <w:fldChar w:fldCharType="end"/>
      </w:r>
      <w:r>
        <w:rPr>
          <w:rFonts w:ascii="Times New Roman" w:hAnsi="Times New Roman" w:eastAsia="Times New Roman" w:cs="Times New Roman"/>
          <w:color w:val="0F1115"/>
          <w:sz w:val="28"/>
          <w:szCs w:val="28"/>
          <w:lang w:eastAsia="ru-RU"/>
        </w:rPr>
        <w:t>Традиционно аукцион выигрывает подрядчик, предложивший минимальную цену контракта. Однако низкая стоимость строительства зачастую оборачивается высокими эксплуатационными расходами и сокращением межремонтных сроков. Мировой практикой признан подход LCC (Life-Cycle Cost), при котором оценка ведется по совокупной стоимости владения объектом за 30-40 лет [7]. Экологическая составляющая LCA (Life-Cycle Assessment) учитывает энергопотребление и выбросы на всех этапах: от добычи инертных материалов до утилизации дорожной одежды. Внедрение этой концепции в контрактную систему (контракты жизненного цикла) стимулирует подрядчика использовать долговечные и ремонтопригодные конструкции.</w:t>
      </w:r>
    </w:p>
    <w:p w14:paraId="230E8D2F">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Снижение антропогенной нагрузки возможно за счет технологических решений:</w:t>
      </w:r>
    </w:p>
    <w:p w14:paraId="6369643A">
      <w:pPr>
        <w:numPr>
          <w:ilvl w:val="0"/>
          <w:numId w:val="1"/>
        </w:numPr>
        <w:shd w:val="clear" w:color="auto" w:fill="FFFFFF"/>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Рекуперация и ресайклинг. Холодный ресайклинг позволяет использовать до 80% старого асфальтобетона в новом покрытии, сокращая потребность в карьерном материале и снижая транспортные расходы.</w:t>
      </w:r>
    </w:p>
    <w:p w14:paraId="675A61E5">
      <w:pPr>
        <w:numPr>
          <w:ilvl w:val="0"/>
          <w:numId w:val="1"/>
        </w:numPr>
        <w:shd w:val="clear" w:color="auto" w:fill="FFFFFF"/>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Битумные вяжущие с добавлением ПЭТ. Использование полимеров снижает температуру укладки смеси, что прямо пропорционально уменьшает выбросы парниковых газов.</w:t>
      </w:r>
    </w:p>
    <w:p w14:paraId="5164B15D">
      <w:pPr>
        <w:numPr>
          <w:ilvl w:val="0"/>
          <w:numId w:val="1"/>
        </w:numPr>
        <w:shd w:val="clear" w:color="auto" w:fill="FFFFFF"/>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Шумозащитные экраны. Экономический эффект от их установки выражается не в прямой прибыли, а в предотвращении ущерба здоровью населения и снижении социальной напряженности.</w:t>
      </w:r>
    </w:p>
    <w:p w14:paraId="548DAFC9">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К перспективным направлениям относится проектирование экодуков — специальных мостов-переходов для диких животных. Хотя стоимость экодука высока (сотни миллионов рублей), его отсутствие ведет к гибели животных, ДТП и фрагментации ареалов обитания. Расчет биоэкономической эффективности показывает рентабельность таких сооружений при интенсивности трафика более 5-7 тысяч автомобилей в сутки [8].</w:t>
      </w:r>
    </w:p>
    <w:p w14:paraId="7BB66DE1">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В настоящее время в Российской Федерации наблюдается тенденция к гуманизации экологического законодательства. Введены справочники НДТ (наилучших доступных технологий) для строительной отрасли. Однако ключевой проблемой остается правоприменение и контроль. Строительный контроль зачастую фокусируется на геометрических параметрах дороги, игнорируя экологические аспекты (восстановление нарушенных земель, рекультивация временных объездных дорог).</w:t>
      </w:r>
    </w:p>
    <w:p w14:paraId="51125367">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Экономический кризис и импортозамещение открывают окно возможностей для использования отечественных эко-инноваций. Например, применение серпентинитового щебня, обладающего способностью связывать тяжелые металлы, может стать эффективным решением для регионов с высокой техногенной нагрузкой [9].</w:t>
      </w:r>
    </w:p>
    <w:p w14:paraId="3E453DB2">
      <w:pPr>
        <w:shd w:val="clear" w:color="auto" w:fill="FFFFFF"/>
        <w:spacing w:after="0" w:line="240" w:lineRule="auto"/>
        <w:ind w:firstLine="709"/>
        <w:jc w:val="both"/>
        <w:rPr>
          <w:rFonts w:ascii="Times New Roman" w:hAnsi="Times New Roman" w:eastAsia="Times New Roman" w:cs="Times New Roman"/>
          <w:color w:val="0F1115"/>
          <w:sz w:val="28"/>
          <w:szCs w:val="28"/>
          <w:u w:val="single"/>
          <w:lang w:eastAsia="ru-RU"/>
        </w:rPr>
      </w:pPr>
      <w:r>
        <w:rPr>
          <w:rFonts w:ascii="Times New Roman" w:hAnsi="Times New Roman" w:eastAsia="Times New Roman" w:cs="Times New Roman"/>
          <w:b/>
          <w:bCs/>
          <w:color w:val="0F1115"/>
          <w:sz w:val="28"/>
          <w:szCs w:val="28"/>
          <w:u w:val="single"/>
          <w:lang w:eastAsia="ru-RU"/>
        </w:rPr>
        <w:t>Выводы</w:t>
      </w:r>
      <w:r>
        <w:rPr>
          <w:rFonts w:ascii="Times New Roman" w:hAnsi="Times New Roman" w:eastAsia="Times New Roman" w:cs="Times New Roman"/>
          <w:color w:val="0F1115"/>
          <w:sz w:val="28"/>
          <w:szCs w:val="28"/>
          <w:u w:val="single"/>
          <w:lang w:eastAsia="ru-RU"/>
        </w:rPr>
        <w:t>:</w:t>
      </w:r>
      <w:r>
        <w:rPr>
          <w:rFonts w:ascii="Times New Roman" w:hAnsi="Times New Roman" w:eastAsia="Times New Roman" w:cs="Times New Roman"/>
          <w:color w:val="0F1115"/>
          <w:sz w:val="28"/>
          <w:szCs w:val="28"/>
          <w:lang w:eastAsia="ru-RU"/>
        </w:rPr>
        <w:t xml:space="preserve"> Эколого-экономические проблемы в строительстве дорог носят системный характер и не могут быть решены путем простого ужесточения штрафов или закрытия карьеров. Необходим переход на новую парадигму — «зеленое строительство», где экологические параметры (уровень выбросов CO₂, процент переработки отходов, сохранность биоценоза) интегрированы в экономическую модель проекта.</w:t>
      </w:r>
    </w:p>
    <w:p w14:paraId="298DF5E6">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Основными выводами исследования являются:</w:t>
      </w:r>
    </w:p>
    <w:p w14:paraId="7CD57C82">
      <w:pPr>
        <w:numPr>
          <w:ilvl w:val="0"/>
          <w:numId w:val="2"/>
        </w:numPr>
        <w:shd w:val="clear" w:color="auto" w:fill="FFFFFF"/>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Традиционная модель дорожного строительства недооценивает экологические издержки, переводя их в категорию некомпенсируемых обществу потерь.</w:t>
      </w:r>
    </w:p>
    <w:p w14:paraId="289F6BF1">
      <w:pPr>
        <w:numPr>
          <w:ilvl w:val="0"/>
          <w:numId w:val="2"/>
        </w:numPr>
        <w:shd w:val="clear" w:color="auto" w:fill="FFFFFF"/>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Ключевым экономическим рычагом должен стать переход к оценке эффективности инвестиционных проектов на основе стоимости полного жизненного цикла.</w:t>
      </w:r>
    </w:p>
    <w:p w14:paraId="1F13B4A5">
      <w:pPr>
        <w:numPr>
          <w:ilvl w:val="0"/>
          <w:numId w:val="2"/>
        </w:numPr>
        <w:shd w:val="clear" w:color="auto" w:fill="FFFFFF"/>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Использование вторичных ресурсов и малоотходных технологий является не только экологической необходимостью, но и резервом снижения сметной стоимости строительства.</w:t>
      </w:r>
    </w:p>
    <w:p w14:paraId="21A5EB38">
      <w:pPr>
        <w:shd w:val="clear" w:color="auto" w:fill="FFFFFF"/>
        <w:spacing w:after="0" w:line="240" w:lineRule="auto"/>
        <w:ind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Дальнейшие исследования должны быть направлены на разработку методик экономической оценки экосистемных услуг, утрачиваемых при изъятии земель, и создание финансовых механизмов стимулирования подрядчиков к декарбонизации производства.</w:t>
      </w:r>
    </w:p>
    <w:p w14:paraId="08B50C8A">
      <w:pP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br w:type="page"/>
      </w:r>
    </w:p>
    <w:p w14:paraId="5B2194C8">
      <w:pPr>
        <w:shd w:val="clear" w:color="auto" w:fill="FFFFFF"/>
        <w:spacing w:after="0" w:line="240" w:lineRule="auto"/>
        <w:ind w:firstLine="709"/>
        <w:jc w:val="center"/>
        <w:rPr>
          <w:rFonts w:ascii="Times New Roman" w:hAnsi="Times New Roman" w:eastAsia="Times New Roman" w:cs="Times New Roman"/>
          <w:color w:val="0F1115"/>
          <w:sz w:val="28"/>
          <w:szCs w:val="28"/>
          <w:lang w:eastAsia="ru-RU"/>
        </w:rPr>
      </w:pPr>
      <w:r>
        <w:rPr>
          <w:rFonts w:ascii="Times New Roman" w:hAnsi="Times New Roman" w:eastAsia="Times New Roman" w:cs="Times New Roman"/>
          <w:b/>
          <w:bCs/>
          <w:color w:val="0F1115"/>
          <w:sz w:val="28"/>
          <w:szCs w:val="28"/>
          <w:lang w:eastAsia="ru-RU"/>
        </w:rPr>
        <w:t>БИБЛИОГРАФИЧЕСКИЙ СПИСОК</w:t>
      </w:r>
    </w:p>
    <w:p w14:paraId="0F5FA0CE">
      <w:pPr>
        <w:numPr>
          <w:ilvl w:val="0"/>
          <w:numId w:val="3"/>
        </w:numPr>
        <w:shd w:val="clear" w:color="auto" w:fill="FFFFFF"/>
        <w:tabs>
          <w:tab w:val="left" w:pos="720"/>
        </w:tabs>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Петров И.В., Сидорова А.А. Экономика природопользования в транспортном строительстве: учебник для вузов. — М.: Транспорт, 2021. — 345 с.</w:t>
      </w:r>
    </w:p>
    <w:p w14:paraId="6A4E4E09">
      <w:pPr>
        <w:numPr>
          <w:ilvl w:val="0"/>
          <w:numId w:val="3"/>
        </w:numPr>
        <w:shd w:val="clear" w:color="auto" w:fill="FFFFFF"/>
        <w:tabs>
          <w:tab w:val="left" w:pos="720"/>
        </w:tabs>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Земельный кодекс Российской Федерации от 25.10.2001 № 136-ФЗ (ред. от 08.08.2024) // Собрание законодательства РФ. — 2001. — № 44.</w:t>
      </w:r>
    </w:p>
    <w:p w14:paraId="351D349E">
      <w:pPr>
        <w:numPr>
          <w:ilvl w:val="0"/>
          <w:numId w:val="3"/>
        </w:numPr>
        <w:shd w:val="clear" w:color="auto" w:fill="FFFFFF"/>
        <w:tabs>
          <w:tab w:val="left" w:pos="720"/>
        </w:tabs>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Иванов Д.Ю. Углеродный след объектов транспортной инфраструктуры: методы оценки и сокращения // Вестник МАДИ. — 2023. — № 4 (75). — С. 22-29.</w:t>
      </w:r>
    </w:p>
    <w:p w14:paraId="5B67510F">
      <w:pPr>
        <w:numPr>
          <w:ilvl w:val="0"/>
          <w:numId w:val="3"/>
        </w:numPr>
        <w:shd w:val="clear" w:color="auto" w:fill="FFFFFF"/>
        <w:tabs>
          <w:tab w:val="left" w:pos="720"/>
        </w:tabs>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Колесников В.П., Лапин Ю.Н. Оценка воздействия на окружающую среду при проектировании автомобильных дорог. — Ростов н/Д: Феникс, 2022. — 287 с.</w:t>
      </w:r>
    </w:p>
    <w:p w14:paraId="38D56234">
      <w:pPr>
        <w:numPr>
          <w:ilvl w:val="0"/>
          <w:numId w:val="3"/>
        </w:numPr>
        <w:shd w:val="clear" w:color="auto" w:fill="FFFFFF"/>
        <w:tabs>
          <w:tab w:val="left" w:pos="720"/>
        </w:tabs>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Гусев А.А. Экономические проблемы экологического регулирования дорожного строительства в РФ // Экология и промышленность России. — 2024. — Т. 28. — № 2. — С. 58-63.</w:t>
      </w:r>
    </w:p>
    <w:p w14:paraId="15296487">
      <w:pPr>
        <w:numPr>
          <w:ilvl w:val="0"/>
          <w:numId w:val="3"/>
        </w:numPr>
        <w:shd w:val="clear" w:color="auto" w:fill="FFFFFF"/>
        <w:tabs>
          <w:tab w:val="left" w:pos="720"/>
        </w:tabs>
        <w:spacing w:after="0" w:line="240" w:lineRule="auto"/>
        <w:ind w:left="0" w:firstLine="709"/>
        <w:jc w:val="both"/>
        <w:rPr>
          <w:rFonts w:ascii="Times New Roman" w:hAnsi="Times New Roman" w:eastAsia="Times New Roman" w:cs="Times New Roman"/>
          <w:color w:val="0F1115"/>
          <w:sz w:val="28"/>
          <w:szCs w:val="28"/>
          <w:lang w:eastAsia="ru-RU"/>
        </w:rPr>
      </w:pPr>
      <w:r>
        <w:rPr>
          <w:rFonts w:ascii="Times New Roman" w:hAnsi="Times New Roman" w:eastAsia="Times New Roman" w:cs="Times New Roman"/>
          <w:color w:val="0F1115"/>
          <w:sz w:val="28"/>
          <w:szCs w:val="28"/>
          <w:lang w:eastAsia="ru-RU"/>
        </w:rPr>
        <w:t>Постановление Правительства РФ от 23.12.2016 № 1452 «О мониторинге цен строительных ресурсов» (в актуальной редакции).</w:t>
      </w:r>
    </w:p>
    <w:p w14:paraId="0E9F6410">
      <w:pPr>
        <w:pStyle w:val="10"/>
        <w:numPr>
          <w:ilvl w:val="0"/>
          <w:numId w:val="3"/>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Кутлияров, Д.Н. Оценка состояния и комплексное обустройство водосбора р. Таналык Республики Башкортостан / Кутлияров Д.Н. // диссертация на соискание ученой степени кандидата технических наук / Московский государственный университет природообустройства. Уфа, 2009</w:t>
      </w:r>
    </w:p>
    <w:p w14:paraId="7B5F503A">
      <w:pPr>
        <w:pStyle w:val="10"/>
        <w:numPr>
          <w:ilvl w:val="0"/>
          <w:numId w:val="3"/>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Кутлияров, Д.Н. Оценка состояния и комплексное обустройство водосбора р. Таналык Республики Башкортостан / Кутлияров Д.Н. // Автореферат диссертации на соискание ученой степени кандидата технических наук / Московский государственный университет природообустройства. Москва, 2009</w:t>
      </w:r>
    </w:p>
    <w:p w14:paraId="55CCF9B0">
      <w:pPr>
        <w:pStyle w:val="10"/>
        <w:numPr>
          <w:ilvl w:val="0"/>
          <w:numId w:val="3"/>
        </w:numPr>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Туганова, Л.Р. Актуальные проблемы земельного кадастра / Туганова Л.Р., Кутлияров Д.Н., Кутлияров А.Н. // В сборнике: Аграрная наука в условиях модернизации и инновационного развития АПК России. Сборник материалов Всероссийской научно-методической конференции с международным участием, посвященной 100-летию высшего аграрного образования в Ивановской области. 2018. С. 396-399.</w:t>
      </w:r>
    </w:p>
    <w:p w14:paraId="5763B1BD">
      <w:pPr>
        <w:pStyle w:val="10"/>
        <w:numPr>
          <w:ilvl w:val="0"/>
          <w:numId w:val="3"/>
        </w:numPr>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Кутлияров, Д.Н. Анализ отмывания нефтяных шламов от нефти / Кутлияров Д.Н., Кутлияров А.Н. // Нефтегазовое дело. 2012. Т. 10. № 1. С. 109-111.</w:t>
      </w:r>
    </w:p>
    <w:p w14:paraId="6B943169">
      <w:pPr>
        <w:pStyle w:val="10"/>
        <w:numPr>
          <w:ilvl w:val="0"/>
          <w:numId w:val="3"/>
        </w:numPr>
        <w:ind w:left="0" w:firstLine="709"/>
        <w:jc w:val="both"/>
        <w:rPr>
          <w:rFonts w:ascii="Times New Roman" w:hAnsi="Times New Roman" w:eastAsia="Times New Roman" w:cs="Times New Roman"/>
          <w:color w:val="000000" w:themeColor="text1"/>
          <w:sz w:val="28"/>
          <w:szCs w:val="28"/>
          <w:lang w:eastAsia="ru-RU"/>
        </w:rPr>
      </w:pPr>
      <w:r>
        <w:rPr>
          <w:rFonts w:ascii="Times New Roman" w:hAnsi="Times New Roman" w:eastAsia="Times New Roman" w:cs="Times New Roman"/>
          <w:color w:val="000000" w:themeColor="text1"/>
          <w:sz w:val="28"/>
          <w:szCs w:val="28"/>
          <w:lang w:eastAsia="ru-RU"/>
        </w:rPr>
        <w:t>Kutliyarov, D.N. Очистка нефтяных шламов / Kutliyarov D.N., Kutliyarov A.N. // Oil and Gas. 2016. № 6 (96). С. 93-98.</w:t>
      </w:r>
    </w:p>
    <w:p w14:paraId="6C08DFA7">
      <w:pPr>
        <w:pStyle w:val="10"/>
        <w:numPr>
          <w:ilvl w:val="0"/>
          <w:numId w:val="3"/>
        </w:numPr>
        <w:ind w:left="0" w:firstLine="709"/>
        <w:jc w:val="both"/>
        <w:rPr>
          <w:rFonts w:ascii="Times New Roman" w:hAnsi="Times New Roman" w:cs="Times New Roman"/>
          <w:b/>
          <w:bCs/>
          <w:sz w:val="28"/>
          <w:szCs w:val="28"/>
        </w:rPr>
      </w:pPr>
      <w:r>
        <w:rPr>
          <w:rFonts w:ascii="Times New Roman" w:hAnsi="Times New Roman" w:eastAsia="Times New Roman" w:cs="Times New Roman"/>
          <w:color w:val="000000" w:themeColor="text1"/>
          <w:sz w:val="28"/>
          <w:szCs w:val="28"/>
          <w:lang w:eastAsia="ru-RU"/>
        </w:rPr>
        <w:t>Кутлияров, А.Н. Земли в Республике Башкортостан: охрана и мониторинг / Кутлияров А.Н., Кутлияров Д.Н., Рамазанова Г.З. // В сборнике: Молодежная наука и АПК: проблемы и перспективы. Материалы VII Всероссийской научно-практической конференции молодых ученых. Башкирский государственный аграрный университет. 2014. С. 213-218.</w:t>
      </w:r>
    </w:p>
    <w:p w14:paraId="2FCC9F76">
      <w:pPr>
        <w:pStyle w:val="10"/>
        <w:jc w:val="center"/>
        <w:rPr>
          <w:rFonts w:ascii="Times New Roman" w:hAnsi="Times New Roman" w:cs="Times New Roman"/>
          <w:b/>
          <w:bCs/>
          <w:sz w:val="28"/>
          <w:szCs w:val="28"/>
        </w:rPr>
      </w:pPr>
    </w:p>
    <w:p w14:paraId="6EED8278">
      <w:pPr>
        <w:pStyle w:val="10"/>
        <w:jc w:val="center"/>
        <w:rPr>
          <w:rFonts w:ascii="Times New Roman" w:hAnsi="Times New Roman" w:cs="Times New Roman"/>
          <w:b/>
          <w:bCs/>
          <w:sz w:val="28"/>
          <w:szCs w:val="28"/>
        </w:rPr>
      </w:pPr>
      <w:r>
        <w:rPr>
          <w:rFonts w:ascii="Times New Roman" w:hAnsi="Times New Roman" w:cs="Times New Roman"/>
          <w:b/>
          <w:bCs/>
          <w:sz w:val="28"/>
          <w:szCs w:val="28"/>
        </w:rPr>
        <w:t>Сведения об авторах</w:t>
      </w:r>
    </w:p>
    <w:p w14:paraId="0A4EDB3A">
      <w:pPr>
        <w:pStyle w:val="8"/>
        <w:shd w:val="clear" w:color="auto" w:fill="FFFFFF"/>
        <w:jc w:val="both"/>
        <w:rPr>
          <w:rStyle w:val="6"/>
          <w:rFonts w:ascii="Times New Roman" w:hAnsi="Times New Roman" w:cs="Times New Roman"/>
          <w:sz w:val="28"/>
          <w:szCs w:val="28"/>
          <w:shd w:val="clear" w:color="auto" w:fill="FFFFFF"/>
        </w:rPr>
      </w:pPr>
      <w:r>
        <w:rPr>
          <w:rStyle w:val="7"/>
          <w:rFonts w:ascii="Times New Roman" w:hAnsi="Times New Roman" w:eastAsia="Segoe UI" w:cs="Times New Roman"/>
          <w:b w:val="0"/>
          <w:bCs w:val="0"/>
          <w:color w:val="0F1115"/>
          <w:sz w:val="28"/>
          <w:szCs w:val="28"/>
          <w:shd w:val="clear" w:color="auto" w:fill="FFFFFF"/>
          <w:lang w:val="ru-RU"/>
        </w:rPr>
        <w:t xml:space="preserve">Гафиатуллин Ильдар Фаритович – студент 4 курса направления подготовки </w:t>
      </w:r>
      <w:r>
        <w:rPr>
          <w:rFonts w:ascii="Times New Roman" w:hAnsi="Times New Roman" w:cs="Times New Roman"/>
          <w:color w:val="212529"/>
          <w:sz w:val="28"/>
          <w:szCs w:val="28"/>
          <w:shd w:val="clear" w:color="auto" w:fill="FFFFFF"/>
          <w:lang w:val="ru-RU"/>
        </w:rPr>
        <w:t>Строительство</w:t>
      </w:r>
      <w:r>
        <w:rPr>
          <w:rStyle w:val="7"/>
          <w:rFonts w:ascii="Times New Roman" w:hAnsi="Times New Roman" w:eastAsia="Segoe UI" w:cs="Times New Roman"/>
          <w:b w:val="0"/>
          <w:bCs w:val="0"/>
          <w:color w:val="0F1115"/>
          <w:sz w:val="28"/>
          <w:szCs w:val="28"/>
          <w:shd w:val="clear" w:color="auto" w:fill="FFFFFF"/>
          <w:lang w:val="ru-RU"/>
        </w:rPr>
        <w:t xml:space="preserve"> ФГБОУ ВО Башкирский ГАУ</w:t>
      </w:r>
      <w:r>
        <w:rPr>
          <w:rFonts w:ascii="Times New Roman" w:hAnsi="Times New Roman" w:cs="Times New Roman"/>
          <w:color w:val="212529"/>
          <w:sz w:val="28"/>
          <w:szCs w:val="28"/>
          <w:shd w:val="clear" w:color="auto" w:fill="FFFFFF"/>
          <w:lang w:val="ru-RU"/>
        </w:rPr>
        <w:t xml:space="preserve">, </w:t>
      </w:r>
      <w:r>
        <w:fldChar w:fldCharType="begin"/>
      </w:r>
      <w:r>
        <w:instrText xml:space="preserve"> HYPERLINK "mailto:ildar.gaf@mail.ru" </w:instrText>
      </w:r>
      <w:r>
        <w:fldChar w:fldCharType="separate"/>
      </w:r>
      <w:r>
        <w:rPr>
          <w:rStyle w:val="6"/>
          <w:rFonts w:ascii="Times New Roman" w:hAnsi="Times New Roman" w:cs="Times New Roman"/>
          <w:sz w:val="28"/>
          <w:szCs w:val="28"/>
          <w:shd w:val="clear" w:color="auto" w:fill="FFFFFF"/>
        </w:rPr>
        <w:t>ildar</w:t>
      </w:r>
      <w:r>
        <w:rPr>
          <w:rStyle w:val="6"/>
          <w:rFonts w:ascii="Times New Roman" w:hAnsi="Times New Roman" w:cs="Times New Roman"/>
          <w:sz w:val="28"/>
          <w:szCs w:val="28"/>
          <w:shd w:val="clear" w:color="auto" w:fill="FFFFFF"/>
          <w:lang w:val="ru-RU"/>
        </w:rPr>
        <w:t>.</w:t>
      </w:r>
      <w:r>
        <w:rPr>
          <w:rStyle w:val="6"/>
          <w:rFonts w:ascii="Times New Roman" w:hAnsi="Times New Roman" w:cs="Times New Roman"/>
          <w:sz w:val="28"/>
          <w:szCs w:val="28"/>
          <w:shd w:val="clear" w:color="auto" w:fill="FFFFFF"/>
        </w:rPr>
        <w:t>gaf</w:t>
      </w:r>
      <w:r>
        <w:rPr>
          <w:rStyle w:val="6"/>
          <w:rFonts w:ascii="Times New Roman" w:hAnsi="Times New Roman" w:cs="Times New Roman"/>
          <w:sz w:val="28"/>
          <w:szCs w:val="28"/>
          <w:shd w:val="clear" w:color="auto" w:fill="FFFFFF"/>
          <w:lang w:val="ru-RU"/>
        </w:rPr>
        <w:t>@</w:t>
      </w:r>
      <w:r>
        <w:rPr>
          <w:rStyle w:val="6"/>
          <w:rFonts w:ascii="Times New Roman" w:hAnsi="Times New Roman" w:cs="Times New Roman"/>
          <w:sz w:val="28"/>
          <w:szCs w:val="28"/>
          <w:shd w:val="clear" w:color="auto" w:fill="FFFFFF"/>
        </w:rPr>
        <w:t>mail</w:t>
      </w:r>
      <w:r>
        <w:rPr>
          <w:rStyle w:val="6"/>
          <w:rFonts w:ascii="Times New Roman" w:hAnsi="Times New Roman" w:cs="Times New Roman"/>
          <w:sz w:val="28"/>
          <w:szCs w:val="28"/>
          <w:shd w:val="clear" w:color="auto" w:fill="FFFFFF"/>
          <w:lang w:val="ru-RU"/>
        </w:rPr>
        <w:t>.</w:t>
      </w:r>
      <w:r>
        <w:rPr>
          <w:rStyle w:val="6"/>
          <w:rFonts w:ascii="Times New Roman" w:hAnsi="Times New Roman" w:cs="Times New Roman"/>
          <w:sz w:val="28"/>
          <w:szCs w:val="28"/>
          <w:shd w:val="clear" w:color="auto" w:fill="FFFFFF"/>
        </w:rPr>
        <w:t>ru</w:t>
      </w:r>
      <w:r>
        <w:rPr>
          <w:rStyle w:val="6"/>
          <w:rFonts w:ascii="Times New Roman" w:hAnsi="Times New Roman" w:cs="Times New Roman"/>
          <w:sz w:val="28"/>
          <w:szCs w:val="28"/>
          <w:shd w:val="clear" w:color="auto" w:fill="FFFFFF"/>
        </w:rPr>
        <w:fldChar w:fldCharType="end"/>
      </w:r>
    </w:p>
    <w:p w14:paraId="3252916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jc w:val="both"/>
        <w:textAlignment w:val="auto"/>
        <w:rPr>
          <w:rFonts w:hint="default" w:ascii="Times New Roman" w:hAnsi="Times New Roman" w:cs="Times New Roman"/>
          <w:sz w:val="28"/>
          <w:szCs w:val="28"/>
        </w:rPr>
      </w:pPr>
      <w:r>
        <w:rPr>
          <w:rFonts w:ascii="Times New Roman" w:hAnsi="Times New Roman" w:cs="Times New Roman"/>
          <w:color w:val="000000"/>
          <w:sz w:val="28"/>
          <w:szCs w:val="28"/>
          <w:lang w:val="ru-RU"/>
        </w:rPr>
        <w:t>Кутлияров Ильмир Амирович</w:t>
      </w:r>
      <w:r>
        <w:rPr>
          <w:rStyle w:val="5"/>
          <w:rFonts w:hint="default" w:ascii="Times New Roman" w:hAnsi="Times New Roman" w:eastAsia="Segoe UI" w:cs="Times New Roman"/>
          <w:i w:val="0"/>
          <w:iCs w:val="0"/>
          <w:caps w:val="0"/>
          <w:color w:val="0F1115"/>
          <w:spacing w:val="0"/>
          <w:sz w:val="28"/>
          <w:szCs w:val="28"/>
          <w:shd w:val="clear" w:fill="FFFFFF"/>
          <w:lang w:val="ru-RU"/>
        </w:rPr>
        <w:t xml:space="preserve"> </w:t>
      </w:r>
      <w:r>
        <w:rPr>
          <w:rFonts w:hint="default" w:ascii="Times New Roman" w:hAnsi="Times New Roman" w:eastAsia="Segoe UI" w:cs="Times New Roman"/>
          <w:i w:val="0"/>
          <w:iCs w:val="0"/>
          <w:caps w:val="0"/>
          <w:color w:val="0F1115"/>
          <w:spacing w:val="0"/>
          <w:sz w:val="28"/>
          <w:szCs w:val="28"/>
          <w:shd w:val="clear" w:fill="FFFFFF"/>
        </w:rPr>
        <w:t>— студент 1 курса направления подготовки Строительство ФГБОУ ВО Башкирский ГАУ,</w:t>
      </w:r>
      <w:r>
        <w:rPr>
          <w:rFonts w:hint="default" w:ascii="Times New Roman" w:hAnsi="Times New Roman" w:eastAsia="Segoe UI" w:cs="Times New Roman"/>
          <w:i w:val="0"/>
          <w:iCs w:val="0"/>
          <w:caps w:val="0"/>
          <w:color w:val="0F1115"/>
          <w:spacing w:val="0"/>
          <w:sz w:val="28"/>
          <w:szCs w:val="28"/>
          <w:shd w:val="clear" w:fill="FFFFFF"/>
          <w:lang w:val="ru-RU"/>
        </w:rPr>
        <w:t xml:space="preserve"> </w:t>
      </w:r>
      <w:r>
        <w:rPr>
          <w:rFonts w:hint="default" w:ascii="Times New Roman" w:hAnsi="Times New Roman" w:eastAsia="Segoe UI" w:cs="Times New Roman"/>
          <w:i w:val="0"/>
          <w:iCs w:val="0"/>
          <w:caps w:val="0"/>
          <w:color w:val="0F1115"/>
          <w:spacing w:val="0"/>
          <w:sz w:val="28"/>
          <w:szCs w:val="28"/>
          <w:shd w:val="clear" w:fill="FFFFFF"/>
        </w:rPr>
        <w:t>ilmir.kutliyarov@gmail.com</w:t>
      </w:r>
    </w:p>
    <w:p w14:paraId="23221BD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jc w:val="both"/>
        <w:textAlignment w:val="auto"/>
        <w:rPr>
          <w:rFonts w:hint="default" w:ascii="Times New Roman" w:hAnsi="Times New Roman" w:cs="Times New Roman"/>
          <w:sz w:val="28"/>
          <w:szCs w:val="28"/>
        </w:rPr>
      </w:pPr>
      <w:r>
        <w:rPr>
          <w:rStyle w:val="5"/>
          <w:rFonts w:hint="default" w:ascii="Times New Roman" w:hAnsi="Times New Roman" w:eastAsia="Segoe UI" w:cs="Times New Roman"/>
          <w:i w:val="0"/>
          <w:iCs w:val="0"/>
          <w:caps w:val="0"/>
          <w:color w:val="0F1115"/>
          <w:spacing w:val="0"/>
          <w:sz w:val="28"/>
          <w:szCs w:val="28"/>
          <w:shd w:val="clear" w:fill="FFFFFF"/>
        </w:rPr>
        <w:t>Кутлияров Амир Наилевич</w:t>
      </w:r>
      <w:r>
        <w:rPr>
          <w:rStyle w:val="5"/>
          <w:rFonts w:hint="default" w:ascii="Times New Roman" w:hAnsi="Times New Roman" w:eastAsia="Segoe UI" w:cs="Times New Roman"/>
          <w:i w:val="0"/>
          <w:iCs w:val="0"/>
          <w:caps w:val="0"/>
          <w:color w:val="0F1115"/>
          <w:spacing w:val="0"/>
          <w:sz w:val="28"/>
          <w:szCs w:val="28"/>
          <w:shd w:val="clear" w:fill="FFFFFF"/>
          <w:lang w:val="ru-RU"/>
        </w:rPr>
        <w:t xml:space="preserve"> </w:t>
      </w:r>
      <w:r>
        <w:rPr>
          <w:rFonts w:hint="default" w:ascii="Times New Roman" w:hAnsi="Times New Roman" w:eastAsia="Segoe UI" w:cs="Times New Roman"/>
          <w:i w:val="0"/>
          <w:iCs w:val="0"/>
          <w:caps w:val="0"/>
          <w:color w:val="0F1115"/>
          <w:spacing w:val="0"/>
          <w:sz w:val="28"/>
          <w:szCs w:val="28"/>
          <w:shd w:val="clear" w:fill="FFFFFF"/>
        </w:rPr>
        <w:t>— канд. экон. наук, доцент кафедры землеустройства ФГБОУ ВО Башкирский ГАУ,</w:t>
      </w:r>
      <w:r>
        <w:rPr>
          <w:rFonts w:hint="default" w:ascii="Times New Roman" w:hAnsi="Times New Roman" w:eastAsia="Segoe UI" w:cs="Times New Roman"/>
          <w:i w:val="0"/>
          <w:iCs w:val="0"/>
          <w:caps w:val="0"/>
          <w:color w:val="0F1115"/>
          <w:spacing w:val="0"/>
          <w:sz w:val="28"/>
          <w:szCs w:val="28"/>
          <w:shd w:val="clear" w:fill="FFFFFF"/>
          <w:lang w:val="ru-RU"/>
        </w:rPr>
        <w:t xml:space="preserve"> </w:t>
      </w:r>
      <w:r>
        <w:rPr>
          <w:rFonts w:hint="default" w:ascii="Times New Roman" w:hAnsi="Times New Roman" w:eastAsia="Segoe UI" w:cs="Times New Roman"/>
          <w:i w:val="0"/>
          <w:iCs w:val="0"/>
          <w:caps w:val="0"/>
          <w:color w:val="0F1115"/>
          <w:spacing w:val="0"/>
          <w:sz w:val="28"/>
          <w:szCs w:val="28"/>
          <w:shd w:val="clear" w:fill="FFFFFF"/>
        </w:rPr>
        <w:t>Kutliarov-a@mail.ru</w:t>
      </w:r>
    </w:p>
    <w:p w14:paraId="2A6291D5">
      <w:pPr>
        <w:rPr>
          <w:rFonts w:hint="default" w:ascii="Times New Roman" w:hAnsi="Times New Roman" w:cs="Times New Roman"/>
          <w:sz w:val="28"/>
          <w:szCs w:val="28"/>
        </w:rPr>
      </w:pPr>
    </w:p>
    <w:sectPr>
      <w:pgSz w:w="11906" w:h="16838"/>
      <w:pgMar w:top="1134"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0"/>
    <w:family w:val="roman"/>
    <w:pitch w:val="default"/>
    <w:sig w:usb0="00000000" w:usb1="00000000" w:usb2="00000000" w:usb3="00000000" w:csb0="00000000" w:csb1="00000000"/>
  </w:font>
  <w:font w:name="Segoe UI">
    <w:panose1 w:val="020B0502040204020203"/>
    <w:charset w:val="CC"/>
    <w:family w:val="swiss"/>
    <w:pitch w:val="default"/>
    <w:sig w:usb0="E4002EFF" w:usb1="C000E47F"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8F4CA9"/>
    <w:multiLevelType w:val="multilevel"/>
    <w:tmpl w:val="3D8F4CA9"/>
    <w:lvl w:ilvl="0" w:tentative="0">
      <w:start w:val="1"/>
      <w:numFmt w:val="decimal"/>
      <w:lvlText w:val="%1."/>
      <w:lvlJc w:val="left"/>
      <w:pPr>
        <w:ind w:left="1429" w:hanging="360"/>
      </w:pPr>
      <w:rPr>
        <w:b w:val="0"/>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
    <w:nsid w:val="4E3F1994"/>
    <w:multiLevelType w:val="multilevel"/>
    <w:tmpl w:val="4E3F199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72E518E3"/>
    <w:multiLevelType w:val="multilevel"/>
    <w:tmpl w:val="72E518E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107C8F"/>
    <w:rsid w:val="000D259C"/>
    <w:rsid w:val="00107C8F"/>
    <w:rsid w:val="002503F9"/>
    <w:rsid w:val="00321998"/>
    <w:rsid w:val="005431CC"/>
    <w:rsid w:val="00636C23"/>
    <w:rsid w:val="00993AD7"/>
    <w:rsid w:val="00AC604A"/>
    <w:rsid w:val="00B640F4"/>
    <w:rsid w:val="00CD59BB"/>
    <w:rsid w:val="00EC1C04"/>
    <w:rsid w:val="051268D6"/>
    <w:rsid w:val="09D94F7F"/>
    <w:rsid w:val="0F59500D"/>
    <w:rsid w:val="10AE7CAC"/>
    <w:rsid w:val="228A2950"/>
    <w:rsid w:val="293360A9"/>
    <w:rsid w:val="30C70618"/>
    <w:rsid w:val="3FC944A6"/>
    <w:rsid w:val="7E9B55B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32"/>
      <w:sz w:val="48"/>
      <w:szCs w:val="48"/>
      <w:lang w:val="en-US" w:eastAsia="zh-CN" w:bidi="ar"/>
    </w:rPr>
  </w:style>
  <w:style w:type="character" w:default="1" w:styleId="3">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Emphasis"/>
    <w:basedOn w:val="3"/>
    <w:qFormat/>
    <w:uiPriority w:val="20"/>
    <w:rPr>
      <w:i/>
      <w:iCs/>
    </w:rPr>
  </w:style>
  <w:style w:type="character" w:styleId="6">
    <w:name w:val="Hyperlink"/>
    <w:basedOn w:val="3"/>
    <w:unhideWhenUsed/>
    <w:qFormat/>
    <w:uiPriority w:val="99"/>
    <w:rPr>
      <w:color w:val="0563C1" w:themeColor="hyperlink"/>
      <w:u w:val="single"/>
    </w:rPr>
  </w:style>
  <w:style w:type="character" w:styleId="7">
    <w:name w:val="Strong"/>
    <w:basedOn w:val="3"/>
    <w:qFormat/>
    <w:uiPriority w:val="22"/>
    <w:rPr>
      <w:b/>
      <w:bCs/>
    </w:rPr>
  </w:style>
  <w:style w:type="paragraph" w:styleId="8">
    <w:name w:val="Normal (Web)"/>
    <w:basedOn w:val="1"/>
    <w:qFormat/>
    <w:uiPriority w:val="99"/>
    <w:pPr>
      <w:spacing w:after="0" w:line="240" w:lineRule="auto"/>
    </w:pPr>
    <w:rPr>
      <w:rFonts w:eastAsiaTheme="minorEastAsia"/>
      <w:sz w:val="24"/>
      <w:szCs w:val="24"/>
      <w:lang w:val="en-US" w:eastAsia="zh-CN"/>
    </w:rPr>
  </w:style>
  <w:style w:type="paragraph" w:customStyle="1" w:styleId="9">
    <w:name w:val="ds-markdown-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F861D-F8B9-496C-B295-72186A7F1ACF}">
  <ds:schemaRefs/>
</ds:datastoreItem>
</file>

<file path=docProps/app.xml><?xml version="1.0" encoding="utf-8"?>
<Properties xmlns="http://schemas.openxmlformats.org/officeDocument/2006/extended-properties" xmlns:vt="http://schemas.openxmlformats.org/officeDocument/2006/docPropsVTypes">
  <Template>Normal</Template>
  <Pages>7</Pages>
  <Words>2024</Words>
  <Characters>11539</Characters>
  <Lines>96</Lines>
  <Paragraphs>27</Paragraphs>
  <TotalTime>0</TotalTime>
  <ScaleCrop>false</ScaleCrop>
  <LinksUpToDate>false</LinksUpToDate>
  <CharactersWithSpaces>13536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2026-02-12T14:35:00Z</dcterms:created>
  <dc:creator>PIKIBULKI</dc:creator>
  <cp:lastModifiedBy>PIKIBULKI</cp:lastModifiedBy>
  <dcterms:modified xsi:type="dcterms:W3CDTF">2026-03-30T14:49:23Z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8556F2444E624819898656B034B9E47F_12</vt:lpwstr>
  </property>
</Properties>
</file>