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CE86C">
      <w:pPr>
        <w:pStyle w:val="2"/>
        <w:keepNext w:val="0"/>
        <w:keepLines w:val="0"/>
        <w:spacing w:before="0" w:beforeAutospacing="0" w:after="0" w:afterAutospacing="0" w:line="240" w:lineRule="auto"/>
        <w:jc w:val="right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Янов Марк Дмитриевич</w:t>
      </w:r>
    </w:p>
    <w:p w14:paraId="50460355">
      <w:pPr>
        <w:keepNext w:val="0"/>
        <w:keepLines w:val="0"/>
        <w:spacing w:before="0" w:beforeAutospacing="0" w:after="0" w:afterAutospacing="0" w:line="240" w:lineRule="auto"/>
        <w:jc w:val="right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студент,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колледж Пятигорского института (филиал) СКФУ</w:t>
      </w:r>
    </w:p>
    <w:p w14:paraId="4EF5F43C">
      <w:pPr>
        <w:keepNext w:val="0"/>
        <w:keepLines w:val="0"/>
        <w:spacing w:before="20" w:beforeAutospacing="0" w:after="20" w:afterAutospacing="0" w:line="240" w:lineRule="auto"/>
        <w:jc w:val="right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(научный руководитель – Аветян Наринэ Юрьевна, преподаватель колледжа Пятигорского института (филиал) СКФУ, г. Пятигорск, Россия)</w:t>
      </w:r>
    </w:p>
    <w:p w14:paraId="3CD3A31B">
      <w:pPr>
        <w:spacing w:before="0" w:beforeAutospacing="0" w:after="0" w:afterAutospacing="0" w:line="360" w:lineRule="auto"/>
        <w:jc w:val="both"/>
        <w:rPr>
          <w:rFonts w:hint="default" w:ascii="Times New Roman" w:hAnsi="Times New Roman" w:eastAsia="Times New Roman" w:cs="Times New Roman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62599D2B">
      <w:pPr>
        <w:spacing w:before="0" w:beforeAutospacing="0" w:after="0" w:afterAutospacing="0" w:line="274" w:lineRule="auto"/>
        <w:jc w:val="center"/>
        <w:rPr>
          <w:rFonts w:hint="default" w:ascii="Times New Roman" w:hAnsi="Times New Roman" w:cs="Times New Roman" w:eastAsiaTheme="minorAscii"/>
          <w:b/>
          <w:bCs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hint="default" w:ascii="Times New Roman" w:hAnsi="Times New Roman" w:cs="Times New Roman" w:eastAsiaTheme="minorAscii"/>
          <w:b/>
          <w:bCs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Оригинальный проект</w:t>
      </w:r>
    </w:p>
    <w:p w14:paraId="76D929C0">
      <w:pPr>
        <w:spacing w:before="0" w:beforeAutospacing="0" w:after="0" w:afterAutospacing="0" w:line="274" w:lineRule="auto"/>
        <w:jc w:val="center"/>
        <w:rPr>
          <w:rFonts w:hint="default" w:ascii="Times New Roman" w:hAnsi="Times New Roman" w:cs="Times New Roman" w:eastAsiaTheme="minorAscii"/>
          <w:b/>
          <w:bCs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59110FDA">
      <w:pPr>
        <w:spacing w:before="0" w:beforeAutospacing="0" w:after="0" w:afterAutospacing="0" w:line="274" w:lineRule="auto"/>
        <w:jc w:val="center"/>
        <w:rPr>
          <w:rFonts w:hint="default" w:ascii="Times New Roman" w:hAnsi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  <w:t>Симметрия в архитектуре и искусстве</w:t>
      </w:r>
    </w:p>
    <w:p w14:paraId="68CA91CB">
      <w:pPr>
        <w:spacing w:before="0" w:beforeAutospacing="0" w:after="0" w:afterAutospacing="0" w:line="274" w:lineRule="auto"/>
        <w:jc w:val="center"/>
        <w:rPr>
          <w:rFonts w:hint="default" w:ascii="Times New Roman" w:hAnsi="Times New Roman"/>
          <w:b/>
          <w:bCs/>
          <w:i w:val="0"/>
          <w:iCs w:val="0"/>
          <w:sz w:val="28"/>
          <w:szCs w:val="28"/>
          <w:shd w:val="clear" w:color="auto" w:fill="FFFFFF"/>
          <w:lang w:val="ru-RU"/>
        </w:rPr>
      </w:pPr>
    </w:p>
    <w:p w14:paraId="54DE62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cs="Times New Roman" w:eastAsiaTheme="minorAscii"/>
          <w:b/>
          <w:bCs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 xml:space="preserve">Ключевые слова: 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Симметрия в искусстве, законы симметрии,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гармония, архитектура,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>законы золотого сечения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, а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нтисимметрия,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математические формулировки</w:t>
      </w:r>
    </w:p>
    <w:p w14:paraId="21E208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</w:p>
    <w:p w14:paraId="17ABB6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Симметрия в искусстве -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соразмерность частей художественного целого как в отношении друг с другом, так и в соответствии с целым. Законы симметрии проявляются как в структуре явлений природы, так и в построении произведений искусства, в особенности живописи и архитектуры. </w:t>
      </w:r>
    </w:p>
    <w:p w14:paraId="072E9CD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С давних пор человек наблюдал явление симметрии в природе. Крылья бабочек, зеркально повторяющие друг друга, симметричны. Кусты и деревья симметричны своим отражением в воде. Если мысленно провести вертикальную линию, разделяющую пополам человеческую фигуру, то левая и правая стороны тоже превратятся в части симметричной «композиции».</w:t>
      </w:r>
    </w:p>
    <w:p w14:paraId="27CED1D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Симметрия, гармония </w:t>
      </w:r>
      <w:r>
        <w:rPr>
          <w:rFonts w:hint="default" w:eastAsia="sans-serif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это наиболее общие понятия, идеи, выработанные в процессе познания человечеством окружающего мира и своего места в нем. Они включают повторяемость событий во времени и пространстве, сохранение свойств объектов при различных преобразованиях. Эти идеи и понятия нашли воплощение в самых разных сторонах деятельности людей </w:t>
      </w:r>
      <w:r>
        <w:rPr>
          <w:rFonts w:hint="default" w:eastAsia="sans-serif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науке, искусстве,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en-US"/>
        </w:rPr>
        <w:t>ремёслах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. Достаточно отметить математические формулировки множества единообразных объектов, повторяемость узоров орнаментов при трансляциях, поворотах, отражениях, ритмичность работы машин и т.д [</w:t>
      </w:r>
      <w:r>
        <w:rPr>
          <w:rFonts w:hint="default" w:eastAsia="sans-serif" w:cs="Times New Roman"/>
          <w:sz w:val="28"/>
          <w:szCs w:val="28"/>
          <w:shd w:val="clear" w:color="auto" w:fill="FFFFFF"/>
          <w:lang w:val="ru-RU"/>
        </w:rPr>
        <w:t>1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].</w:t>
      </w:r>
    </w:p>
    <w:p w14:paraId="6082453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Архитектура современного города многообразна, насыщена, интересна, порой город напоминает нечто хаотичное и бесформенное, однако это не так. Архитектура города, как музыка увлекает своей многогранностью и неповторимостью форм.</w:t>
      </w:r>
    </w:p>
    <w:p w14:paraId="32B1D277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По словам древнеримского архитектора Витрувия, архитектура основывается на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en-US"/>
        </w:rPr>
        <w:t>трёх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началах: лат.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</w:rPr>
        <w:t>firmitas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eastAsia="sans-serif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прочность, лат.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</w:rPr>
        <w:t>utilitas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eastAsia="sans-serif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польза и лат.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</w:rPr>
        <w:t>venustas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eastAsia="sans-serif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красота (т. н. Триада Витрувия). По его мнению, все это лежит в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en-US"/>
        </w:rPr>
        <w:t>определённом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гармоническом отношении к пропорциям человеческого тела.</w:t>
      </w:r>
    </w:p>
    <w:p w14:paraId="4E9A3FD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hint="default" w:ascii="Times New Roman" w:hAnsi="Times New Roman" w:eastAsia="sans-serif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Архитектура окружает нас и образует пространственную среду для жизни и деятельности людей.</w:t>
      </w:r>
    </w:p>
    <w:p w14:paraId="31DCD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Вид сложной симметрии, где полярные части композиции будут иметь контрастные свойства. К примеру, масса белого треугольника будет уравновешиваться массой 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en-US"/>
        </w:rPr>
        <w:t>чёрного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, а хорошо прорисованный объект контурами аналогичного по размерам и форме. Антисимметрия используется при создании более сложных композиций, постепенно открывающих зрителю свою гармонию.</w:t>
      </w:r>
    </w:p>
    <w:p w14:paraId="684EF853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Знание законов золотого сечения или непрерывного деления, как его называют некоторые исследователи учения о пропорциях, помогают художнику творить осознанно и свободно. Используя закономерности золотого сечения, можно исследовать пропорциональную структуру любого художественного произведения, даже если оно создавалось на основе творческой интуиции. Эта сторона дела имеет немаловажное значение при изучении классического наследия и при искусствоведческом анализе произведений всех видов искусств.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Ещё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 в эпоху Возрождения художники открыли, что любая картина имеет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определённые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 точки, невольно приковывающие наше внимание, так называемые зрительные центры. При этом абсолютно неважно, какой формат имеет картина - горизонтальный или вертикальный. Таких точек всего четыре, и расположены они на расстоянии 3/8 и 5/8 от соответствующих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краёв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 плоскости. Данное открытие у художников того времени получило название «золотое сечение» картины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. [2]</w:t>
      </w:r>
    </w:p>
    <w:p w14:paraId="58702E3C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На знаменитой картине И. И. Шишкина </w:t>
      </w:r>
      <w:r>
        <w:rPr>
          <w:rFonts w:hint="default" w:ascii="Times New Roman" w:hAnsi="Times New Roman" w:eastAsia="Times New Roman" w:cs="Times New Roman"/>
          <w:bCs/>
          <w:sz w:val="28"/>
          <w:szCs w:val="28"/>
          <w:lang w:val="ru-RU" w:eastAsia="ru-RU"/>
        </w:rPr>
        <w:t xml:space="preserve">«Сосновая роща»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с очевидностью просматриваются мотивы золотого сечения. Ярко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освещённая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 солнцем сосна (стоящая на первом плане) делит длину картины по золотому сечению. Справа от сосны -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освещённый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 w:eastAsia="ru-RU"/>
        </w:rPr>
        <w:t xml:space="preserve"> солнцем пригорок. Он делит по золотому сечению правую часть картины по горизонтали. Слева от главной сосны находится множество сосен - при желании можно с успехом продолжить деление картины по золотому сечению и дальше. Наличие в картине ярких вертикалей и горизонталей, делящих её в отношении золотого сечения, придаёт ей характер уравновешенности и спокойствия, в соответствии с замыслом художника.</w:t>
      </w:r>
    </w:p>
    <w:p w14:paraId="65FEFDED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</w:p>
    <w:p w14:paraId="7F9C65AD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center"/>
        <w:textAlignment w:val="auto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drawing>
          <wp:inline distT="0" distB="0" distL="0" distR="0">
            <wp:extent cx="4191000" cy="3216910"/>
            <wp:effectExtent l="0" t="0" r="0" b="2540"/>
            <wp:docPr id="9" name="Рисунок 17" descr="Сосновая роща Шишк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7" descr="Сосновая роща Шишки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3921" cy="3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77BE6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</w:p>
    <w:p w14:paraId="43F0DDC5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center"/>
        <w:textAlignment w:val="auto"/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 xml:space="preserve">Рисунок 3 - Картина И. И. Шишкина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>«Сосновая роща»</w:t>
      </w:r>
    </w:p>
    <w:p w14:paraId="5B3C80CA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center"/>
        <w:textAlignment w:val="auto"/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</w:pPr>
    </w:p>
    <w:p w14:paraId="5CBB2F36">
      <w:pPr>
        <w:keepNext w:val="0"/>
        <w:keepLines w:val="0"/>
        <w:pageBreakBefore w:val="0"/>
        <w:widowControl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 xml:space="preserve">В картине Рафаэля «Избиение младенцев» просматривается другой элемент золотой пропорции - золотая спираль. На подготовительном эскизе Рафаэля проведены красные линии, идущие от смыслового центра композиции - точки, где пальцы воина сомкнулись вокруг лодыжки </w:t>
      </w:r>
      <w:r>
        <w:rPr>
          <w:rFonts w:ascii="Times New Roman" w:hAnsi="Times New Roman" w:eastAsia="Times New Roman" w:cs="Times New Roman"/>
          <w:bCs/>
          <w:sz w:val="28"/>
          <w:szCs w:val="28"/>
          <w:lang w:val="en-US" w:eastAsia="ru-RU"/>
        </w:rPr>
        <w:t>ребёнка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 xml:space="preserve"> - вдоль фигур </w:t>
      </w:r>
      <w:r>
        <w:rPr>
          <w:rFonts w:ascii="Times New Roman" w:hAnsi="Times New Roman" w:eastAsia="Times New Roman" w:cs="Times New Roman"/>
          <w:bCs/>
          <w:sz w:val="28"/>
          <w:szCs w:val="28"/>
          <w:lang w:val="en-US" w:eastAsia="ru-RU"/>
        </w:rPr>
        <w:t>ребёнка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 xml:space="preserve">, женщины, прижимающей его к себе, воина с </w:t>
      </w:r>
      <w:r>
        <w:rPr>
          <w:rFonts w:ascii="Times New Roman" w:hAnsi="Times New Roman" w:eastAsia="Times New Roman" w:cs="Times New Roman"/>
          <w:bCs/>
          <w:sz w:val="28"/>
          <w:szCs w:val="28"/>
          <w:lang w:val="en-US" w:eastAsia="ru-RU"/>
        </w:rPr>
        <w:t>занесённым</w:t>
      </w: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 xml:space="preserve"> мечом и затем вдоль фигур такой же группы в правой части эскиза. Неизвестно, строил ли Рафаэль золотую спираль или чувствовал </w:t>
      </w:r>
      <w:r>
        <w:rPr>
          <w:rFonts w:ascii="Times New Roman" w:hAnsi="Times New Roman" w:eastAsia="Times New Roman" w:cs="Times New Roman"/>
          <w:bCs/>
          <w:sz w:val="28"/>
          <w:szCs w:val="28"/>
          <w:lang w:val="en-US" w:eastAsia="ru-RU"/>
        </w:rPr>
        <w:t>её</w:t>
      </w: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>.</w:t>
      </w:r>
    </w:p>
    <w:p w14:paraId="6F2B47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709"/>
        <w:jc w:val="both"/>
        <w:textAlignment w:val="auto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ru-RU" w:eastAsia="ru-RU"/>
        </w:rPr>
        <w:t>Таким образом, с</w:t>
      </w: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 xml:space="preserve"> полной уверенностью можно сказать, что золотая пропорция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-</w:t>
      </w: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  <w:t xml:space="preserve"> это та основа формообразования, применение которой обеспечивает многообразие композиционных форм в живописи.</w:t>
      </w:r>
    </w:p>
    <w:p w14:paraId="42FE9594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eastAsia="sans-serif"/>
          <w:sz w:val="28"/>
          <w:szCs w:val="28"/>
          <w:shd w:val="clear" w:color="auto" w:fill="FFFFFF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>Восхищаясь красотой окружающего мира, люди не задумываются, что лежит в основе этой красоты.</w:t>
      </w:r>
    </w:p>
    <w:p w14:paraId="34307103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eastAsia="sans-serif"/>
          <w:sz w:val="28"/>
          <w:szCs w:val="28"/>
          <w:shd w:val="clear" w:color="auto" w:fill="FFFFFF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Во-первых, мы с вами </w:t>
      </w:r>
      <w:r>
        <w:rPr>
          <w:rFonts w:eastAsia="sans-serif"/>
          <w:sz w:val="28"/>
          <w:szCs w:val="28"/>
          <w:shd w:val="clear" w:color="auto" w:fill="FFFFFF"/>
          <w:lang w:val="en-US"/>
        </w:rPr>
        <w:t>живём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 в симметричном мире, который обусловлен условиями жизни на планете Земля. Может быть, человек на подсознательном уровне понимает, что симметрия </w:t>
      </w:r>
      <w:r>
        <w:rPr>
          <w:rFonts w:hint="default" w:eastAsia="sans-serif"/>
          <w:sz w:val="28"/>
          <w:szCs w:val="28"/>
          <w:shd w:val="clear" w:color="auto" w:fill="FFFFFF"/>
          <w:lang w:val="ru-RU"/>
        </w:rPr>
        <w:t>-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 это форма устойчивости, а значит существования на нашей планете.</w:t>
      </w:r>
    </w:p>
    <w:p w14:paraId="7221F610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eastAsia="sans-serif"/>
          <w:sz w:val="28"/>
          <w:szCs w:val="28"/>
          <w:shd w:val="clear" w:color="auto" w:fill="FFFFFF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>Во-вторых, окружающие нас люди и растения симметричны. Но если посмотреть поближе, то можно увидеть, что фигуры только почти симметричны. Но это не всегда воспринимает глаз человека. Наш глаз постепенно привыкает видеть симметричные объекты, и они воспринимаются, как гармоничные и совершенные.</w:t>
      </w:r>
    </w:p>
    <w:p w14:paraId="64D16BAC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eastAsia="sans-serif"/>
          <w:sz w:val="28"/>
          <w:szCs w:val="28"/>
          <w:shd w:val="clear" w:color="auto" w:fill="FFFFFF"/>
          <w:lang w:val="ru-RU"/>
        </w:rPr>
      </w:pPr>
      <w:r>
        <w:rPr>
          <w:rFonts w:eastAsia="sans-serif"/>
          <w:sz w:val="28"/>
          <w:szCs w:val="28"/>
          <w:shd w:val="clear" w:color="auto" w:fill="FFFFFF"/>
          <w:lang w:val="ru-RU"/>
        </w:rPr>
        <w:t>«Симметрия»</w:t>
      </w:r>
      <w:r>
        <w:rPr>
          <w:rFonts w:hint="default" w:eastAsia="sans-serif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>- слово греческого происхождения. Оно, как и слово «гармония»,</w:t>
      </w:r>
      <w:r>
        <w:rPr>
          <w:rFonts w:eastAsia="sans-serif"/>
          <w:sz w:val="28"/>
          <w:szCs w:val="28"/>
          <w:shd w:val="clear" w:color="auto" w:fill="FFFFFF"/>
        </w:rPr>
        <w:t> 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означает «соразмерность», «наличие </w:t>
      </w:r>
      <w:r>
        <w:rPr>
          <w:rFonts w:eastAsia="sans-serif"/>
          <w:sz w:val="28"/>
          <w:szCs w:val="28"/>
          <w:shd w:val="clear" w:color="auto" w:fill="FFFFFF"/>
          <w:lang w:val="en-US"/>
        </w:rPr>
        <w:t>определённого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 порядка, закономерности в</w:t>
      </w:r>
      <w:r>
        <w:rPr>
          <w:rFonts w:eastAsia="sans-serif"/>
          <w:sz w:val="28"/>
          <w:szCs w:val="28"/>
          <w:shd w:val="clear" w:color="auto" w:fill="FFFFFF"/>
        </w:rPr>
        <w:t> 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>расположении частей». Творцом симметрии является сама природа. Одни из самых первых</w:t>
      </w:r>
      <w:r>
        <w:rPr>
          <w:rFonts w:eastAsia="sans-serif"/>
          <w:sz w:val="28"/>
          <w:szCs w:val="28"/>
          <w:shd w:val="clear" w:color="auto" w:fill="FFFFFF"/>
        </w:rPr>
        <w:t> 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проявлений симметрии, отмеченных человеком, </w:t>
      </w:r>
      <w:r>
        <w:rPr>
          <w:rFonts w:hint="default" w:eastAsia="sans-serif"/>
          <w:sz w:val="28"/>
          <w:szCs w:val="28"/>
          <w:shd w:val="clear" w:color="auto" w:fill="FFFFFF"/>
          <w:lang w:val="ru-RU"/>
        </w:rPr>
        <w:t>-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 это отражение в глади </w:t>
      </w:r>
      <w:r>
        <w:rPr>
          <w:rFonts w:eastAsia="sans-serif"/>
          <w:sz w:val="28"/>
          <w:szCs w:val="28"/>
          <w:shd w:val="clear" w:color="auto" w:fill="FFFFFF"/>
          <w:lang w:val="en-US"/>
        </w:rPr>
        <w:t>водоёма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 xml:space="preserve"> и симметрия</w:t>
      </w:r>
      <w:r>
        <w:rPr>
          <w:rFonts w:eastAsia="sans-serif"/>
          <w:sz w:val="28"/>
          <w:szCs w:val="28"/>
          <w:shd w:val="clear" w:color="auto" w:fill="FFFFFF"/>
        </w:rPr>
        <w:t> 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>человеческого тела. Позднее люди стали использовать симметрию в архитектуре, предметах</w:t>
      </w:r>
      <w:r>
        <w:rPr>
          <w:rFonts w:eastAsia="sans-serif"/>
          <w:sz w:val="28"/>
          <w:szCs w:val="28"/>
          <w:shd w:val="clear" w:color="auto" w:fill="FFFFFF"/>
        </w:rPr>
        <w:t> </w:t>
      </w:r>
      <w:r>
        <w:rPr>
          <w:rFonts w:eastAsia="sans-serif"/>
          <w:sz w:val="28"/>
          <w:szCs w:val="28"/>
          <w:shd w:val="clear" w:color="auto" w:fill="FFFFFF"/>
          <w:lang w:val="ru-RU"/>
        </w:rPr>
        <w:t>быта, орнамента. В математике рассматриваются различные виды симметрии.</w:t>
      </w:r>
    </w:p>
    <w:p w14:paraId="1E125CEC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eastAsia="sans-serif"/>
          <w:sz w:val="28"/>
          <w:szCs w:val="28"/>
          <w:shd w:val="clear" w:color="auto" w:fill="FFFFFF"/>
          <w:lang w:val="ru-RU"/>
        </w:rPr>
      </w:pPr>
    </w:p>
    <w:p w14:paraId="7AA7FB8F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center"/>
        <w:textAlignment w:val="auto"/>
        <w:rPr>
          <w:rFonts w:ascii="SimSun" w:hAnsi="SimSun" w:cs="SimSun"/>
          <w:lang w:val="ru-RU" w:eastAsia="ru-RU"/>
        </w:rPr>
      </w:pPr>
      <w:r>
        <w:rPr>
          <w:rFonts w:ascii="SimSun" w:hAnsi="SimSun" w:cs="SimSun"/>
          <w:lang w:val="ru-RU" w:eastAsia="ru-RU"/>
        </w:rPr>
        <w:drawing>
          <wp:inline distT="0" distB="0" distL="114300" distR="114300">
            <wp:extent cx="1926590" cy="1484630"/>
            <wp:effectExtent l="0" t="0" r="16510" b="1270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cs="SimSun"/>
          <w:lang w:val="ru-RU" w:eastAsia="ru-RU"/>
        </w:rPr>
        <w:drawing>
          <wp:inline distT="0" distB="0" distL="114300" distR="114300">
            <wp:extent cx="1963420" cy="1472565"/>
            <wp:effectExtent l="0" t="0" r="17780" b="13335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3420" cy="1472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85C6CE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center"/>
        <w:textAlignment w:val="auto"/>
        <w:rPr>
          <w:rFonts w:ascii="SimSun" w:hAnsi="SimSun" w:cs="SimSun"/>
          <w:lang w:val="ru-RU" w:eastAsia="ru-RU"/>
        </w:rPr>
      </w:pPr>
    </w:p>
    <w:p w14:paraId="37ECA226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center"/>
        <w:textAlignment w:val="auto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Рисунок 4 – Примеры симметрии в природ</w:t>
      </w:r>
      <w:r>
        <w:rPr>
          <w:rFonts w:hint="default"/>
          <w:sz w:val="28"/>
          <w:szCs w:val="28"/>
          <w:lang w:val="ru-RU"/>
        </w:rPr>
        <w:t>е</w:t>
      </w:r>
      <w:bookmarkStart w:id="2" w:name="_GoBack"/>
      <w:bookmarkEnd w:id="2"/>
    </w:p>
    <w:p w14:paraId="61753C34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8" w:firstLineChars="0"/>
        <w:jc w:val="both"/>
        <w:textAlignment w:val="auto"/>
        <w:rPr>
          <w:sz w:val="28"/>
          <w:szCs w:val="28"/>
          <w:lang w:val="ru-RU"/>
        </w:rPr>
      </w:pPr>
    </w:p>
    <w:p w14:paraId="7E5E32BF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8" w:firstLineChars="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Специфика строения растений и животных определяется особенностями среды обитания, к которой они приспосабливаются, особенностями их образа жизни.</w:t>
      </w:r>
      <w:r>
        <w:rPr>
          <w:sz w:val="28"/>
          <w:szCs w:val="28"/>
        </w:rPr>
        <w:t> </w:t>
      </w:r>
    </w:p>
    <w:p w14:paraId="4B7C4A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both"/>
        <w:textAlignment w:val="auto"/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Симметрия в архитектуре 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 это одинаковое расположение равных частей по отношению к линии либо плоскости. Е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ё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 относят к числу сильнейших средств организации формы. Архитектурная симметрия бывает разных видов. Простейшим из них является зеркальная симметрия, симметрия правого и левого. В данном случае одна половина </w:t>
      </w:r>
      <w:r>
        <w:rPr>
          <w:rFonts w:hint="default"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 xml:space="preserve"> это как бы зеркальное отражение другой. Воображаемую плоскость, которая делит форму на 2 равные части, называют плоскостью симметрии.</w:t>
      </w:r>
    </w:p>
    <w:p w14:paraId="6799AAB4">
      <w:pPr>
        <w:ind w:firstLine="709"/>
        <w:jc w:val="center"/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</w:pPr>
      <w:r>
        <w:rPr>
          <w:rFonts w:ascii="SimSun" w:hAnsi="SimSun" w:eastAsia="SimSun" w:cs="SimSun"/>
          <w:sz w:val="24"/>
          <w:szCs w:val="24"/>
          <w:lang w:val="ru-RU" w:eastAsia="ru-RU"/>
        </w:rPr>
        <w:drawing>
          <wp:inline distT="0" distB="0" distL="114300" distR="114300">
            <wp:extent cx="4452620" cy="2969260"/>
            <wp:effectExtent l="0" t="0" r="5080" b="2540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2620" cy="2969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BA0898">
      <w:pPr>
        <w:ind w:firstLine="709"/>
        <w:jc w:val="center"/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Рисунок 5 - Башни Петронас (Малайзия)</w:t>
      </w:r>
    </w:p>
    <w:p w14:paraId="2A98F713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eastAsia="Arial"/>
          <w:sz w:val="28"/>
          <w:szCs w:val="28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Симметрическим может считаться объект, в котором присутствуют соразмерные точки, линии или их комбинации. Количество таких соответствий, их конфигурация и расположение относительно осей определяют вид симметрии.</w:t>
      </w:r>
    </w:p>
    <w:p w14:paraId="579586D3"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09"/>
        <w:jc w:val="both"/>
        <w:textAlignment w:val="auto"/>
        <w:rPr>
          <w:rFonts w:ascii="Arial" w:hAnsi="Arial" w:eastAsia="Arial" w:cs="Arial"/>
          <w:lang w:val="ru-RU"/>
        </w:rPr>
      </w:pPr>
      <w:r>
        <w:rPr>
          <w:rFonts w:eastAsia="Arial"/>
          <w:sz w:val="28"/>
          <w:szCs w:val="28"/>
          <w:shd w:val="clear" w:color="auto" w:fill="FFFFFF"/>
          <w:lang w:val="ru-RU"/>
        </w:rPr>
        <w:t>Зеркальная симметрия. В основе этого типа симметрии лежит принцип разделения массы композиции на две равные части по обе стороны вертикально или горизонтально ориентированной оси. Две половины изображения полностью соответствуют друг другу (отсюда и название). Каждая точка в такой композиции имеет в соседней плоскости своё зеркальное отражение, расположенное в том же месте пересечения осей координат.</w:t>
      </w:r>
      <w:r>
        <w:rPr>
          <w:rFonts w:ascii="Arial" w:hAnsi="Arial" w:eastAsia="Arial" w:cs="Arial"/>
          <w:shd w:val="clear" w:color="auto" w:fill="FFFFFF"/>
        </w:rPr>
        <w:t> </w:t>
      </w:r>
    </w:p>
    <w:p w14:paraId="2988B4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both"/>
        <w:textAlignment w:val="auto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Симметрия устанавливает забавное и удивительное родство между предметами, явлениями и теориями, внешне никак не связанными: земным магнетизмом, женской вуалью, естественным отбором, теорией групп, рабочими привычками пчёл в улье, строением пространства, рисунками ваз, лепестками цветов, романскими соборами, снежинками, музыкой. </w:t>
      </w:r>
    </w:p>
    <w:p w14:paraId="4EBEA7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center"/>
        <w:textAlignment w:val="auto"/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  <w:r>
        <w:rPr>
          <w:rFonts w:ascii="SimSun" w:hAnsi="SimSun" w:eastAsia="SimSun" w:cs="SimSun"/>
          <w:sz w:val="24"/>
          <w:szCs w:val="24"/>
          <w:lang w:val="ru-RU" w:eastAsia="ru-RU"/>
        </w:rPr>
        <w:drawing>
          <wp:inline distT="0" distB="0" distL="114300" distR="114300">
            <wp:extent cx="5019675" cy="3764915"/>
            <wp:effectExtent l="0" t="0" r="9525" b="6985"/>
            <wp:docPr id="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764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9C69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center"/>
        <w:textAlignment w:val="auto"/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  <w:t>Рисунок 6 - Нотр-Дам-де-Пари</w:t>
      </w:r>
    </w:p>
    <w:p w14:paraId="787C61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both"/>
        <w:textAlignment w:val="auto"/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Понятие симметрии проходит через всю многовековую историю человеческого творчества. Оно встречается уже у истоков человеческого знания; его широко используют все без исключения направления современной науки.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ab/>
      </w: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Прекрасные образцы симметрии демонстрируют произведения архитектуры.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ab/>
      </w: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Общие планы зданий, архитектура фасадов, оформление внутренних помещений, орнаменты, карнизы, колонки, потолки можно описать той или иной группой симметрии. В человеческой жизни визуальный эффект играет очень важную роль, а проявляется он полностью именно в архитектуре. Эта тема меня очень заинтересовала, так как моё увлечение живопись, а живопись и симметрия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>-</w:t>
      </w:r>
      <w:r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это одно целое, дополняющее друг друга. Мне нравиться рисовать здания, сооружения, соборы и храмы, поэтому я решила провести исследовательскую работу, найти точки соприкосновения симметрии и архитектуры.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sz w:val="28"/>
          <w:szCs w:val="28"/>
          <w:shd w:val="clear" w:color="auto" w:fill="FFFFFF"/>
          <w:lang w:val="en-US"/>
        </w:rPr>
        <w:t>[3]</w:t>
      </w:r>
    </w:p>
    <w:p w14:paraId="52C586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both"/>
        <w:textAlignment w:val="auto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</w:p>
    <w:p w14:paraId="6E368C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/>
        <w:jc w:val="both"/>
        <w:textAlignment w:val="auto"/>
        <w:rPr>
          <w:rFonts w:ascii="Times New Roman" w:hAnsi="Times New Roman" w:eastAsia="sans-serif" w:cs="Times New Roman"/>
          <w:sz w:val="28"/>
          <w:szCs w:val="28"/>
          <w:shd w:val="clear" w:color="auto" w:fill="FFFFFF"/>
          <w:lang w:val="ru-RU"/>
        </w:rPr>
      </w:pPr>
    </w:p>
    <w:p w14:paraId="21CBDE92">
      <w:pPr>
        <w:jc w:val="both"/>
        <w:rPr>
          <w:rFonts w:ascii="Times New Roman" w:hAnsi="Times New Roman" w:eastAsia="Arial" w:cs="Times New Roman"/>
          <w:sz w:val="28"/>
          <w:szCs w:val="28"/>
          <w:shd w:val="clear" w:color="auto" w:fill="FFFFFF"/>
          <w:lang w:val="ru-RU"/>
        </w:rPr>
      </w:pPr>
    </w:p>
    <w:p w14:paraId="7FE10741">
      <w:pPr>
        <w:ind w:firstLine="708" w:firstLineChars="0"/>
        <w:rPr>
          <w:rFonts w:hint="default" w:ascii="Times New Roman" w:hAnsi="Times New Roman" w:cs="Times New Roman" w:eastAsiaTheme="minorAscii"/>
          <w:b/>
          <w:bCs/>
          <w:i w:val="0"/>
          <w:iC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ascii="Times New Roman" w:hAnsi="Times New Roman" w:eastAsia="Arial" w:cs="Times New Roman"/>
          <w:color w:val="010101"/>
          <w:sz w:val="28"/>
          <w:szCs w:val="28"/>
          <w:shd w:val="clear" w:color="auto" w:fill="FFFFFF"/>
          <w:lang w:val="ru-RU"/>
        </w:rPr>
        <w:br w:type="page"/>
      </w:r>
      <w:r>
        <w:rPr>
          <w:rFonts w:hint="default" w:ascii="Times New Roman" w:hAnsi="Times New Roman" w:cs="Times New Roman" w:eastAsiaTheme="minorAscii"/>
          <w:b/>
          <w:bCs/>
          <w:i w:val="0"/>
          <w:iC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Научная новизна и перспективы:</w:t>
      </w:r>
    </w:p>
    <w:p w14:paraId="13F8AA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 w:firstLineChars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ru-RU"/>
          <w14:textFill>
            <w14:solidFill>
              <w14:schemeClr w14:val="tx1"/>
            </w14:solidFill>
          </w14:textFill>
        </w:rPr>
        <w:t>И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зучения симметрии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 связаны с исследованием её проявлений в различных областях: архитектуре, искусстве и природе.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Изучение симметрии позволяет расширить представление о закономерностях организации мира и взаимосвязи различных областей знания.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ru-RU"/>
          <w14:textFill>
            <w14:solidFill>
              <w14:schemeClr w14:val="tx1"/>
            </w14:solidFill>
          </w14:textFill>
        </w:rPr>
        <w:t>Также научная новизна заключается в и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сследование эволюции использования симметрии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 в архитектуре различных эпох и культур: Древнего Египта, Греции, Рима, Ренессанса, барокко, современной архитектуры. Например, анализ примеров симметричных архитектурных сооружений и их функционального и эстетического значения.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Изучение системного взаимодействия видов симметрии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 xml:space="preserve"> в архитектурном объекте. Одни виды симметрии занимают доминирующее положение, определяя общую композиционную структуру,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>к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огда другие играют подчинённую, второстепенную роль. Архитекторы сознательно регулируют это соотношение, акцентируя одни виды симметрии и приглушая другие.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Исследование применения принципов симметрии в современной архитектуре и дизайне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. Например, анализ примеров инновационных архитектурных проектов, использующих симметрию для достижения эстетических и функциональных целей.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Изучение вопросов устойчивого развития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 и использования симметричных структур в экологической архитектуре.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</w:p>
    <w:p w14:paraId="46A3F3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9" w:firstLineChars="0"/>
        <w:jc w:val="both"/>
        <w:textAlignment w:val="auto"/>
        <w:rPr>
          <w:rFonts w:hint="default" w:ascii="Times New Roman" w:hAnsi="Times New Roman" w:eastAsia="Arial" w:cs="Times New Roman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>В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искусстве научная новизна заключается в и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сследование роли симметрии в композиции и эстетике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>А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нализ различных типов симметричных композиций и их психологического воздействия на зрителя. Также изучение связи между симметрией и ритмом, балансом и пропорциями.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 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Исследование современных тенденций использования симметрии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 xml:space="preserve"> в различных областях художественного творчества.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ab/>
        <w:t>О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бсуждение примеров из архитектуры, графического дизайна и цифрового искусства.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6"/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Изучение психологии восприятия симметрии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:lang w:val="ru-RU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 xml:space="preserve"> например, изучение, как и почему зрители реагируют на симметрию в искусстве.</w:t>
      </w:r>
    </w:p>
    <w:p w14:paraId="6A231F2E">
      <w:pPr>
        <w:ind w:firstLine="708" w:firstLineChars="0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</w:pPr>
    </w:p>
    <w:p w14:paraId="3322AD73">
      <w:pPr>
        <w:ind w:firstLine="708" w:firstLineChars="0"/>
        <w:rPr>
          <w:rFonts w:hint="default" w:ascii="Arial" w:hAnsi="Arial" w:eastAsia="Arial" w:cs="Arial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</w:p>
    <w:p w14:paraId="120EB5F4">
      <w:pPr>
        <w:ind w:firstLine="708" w:firstLineChars="0"/>
        <w:rPr>
          <w:rFonts w:hint="default" w:ascii="Times New Roman" w:hAnsi="Times New Roman" w:cs="Times New Roman" w:eastAsiaTheme="minorAscii"/>
          <w:b/>
          <w:bCs/>
          <w:i w:val="0"/>
          <w:iC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2BF6A279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2444F5CE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43634E7A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3562AAB0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6EC8629C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3441C9E0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3BBC17DD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20A4ED1D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045EE021">
      <w:pPr>
        <w:spacing w:before="0" w:beforeAutospacing="0" w:after="0" w:afterAutospacing="0" w:line="27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p w14:paraId="1DF5F06A">
      <w:pPr>
        <w:spacing w:before="0" w:beforeAutospacing="0" w:after="0" w:afterAutospacing="0" w:line="274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  <w:t>БИБЛИОГРАФИЧЕСКИЙ СПИСОК</w:t>
      </w:r>
    </w:p>
    <w:p w14:paraId="1095EF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pPr>
    </w:p>
    <w:p w14:paraId="3B40D6F9">
      <w:pPr>
        <w:pStyle w:val="8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eastAsia="Arial" w:cs="Times New Roman"/>
          <w:color w:val="01010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Гармония во всем: что такое золотое сечение и способы его применения</w:t>
      </w:r>
      <w:r>
        <w:rPr>
          <w:lang w:val="ru-RU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правила [Электронный ресурс] // РИА Новости. – Электронные данные, 2024. – URL: </w:t>
      </w:r>
      <w:r>
        <w:rPr>
          <w:rFonts w:ascii="Times New Roman" w:hAnsi="Times New Roman" w:eastAsia="Arial"/>
          <w:color w:val="010101"/>
          <w:sz w:val="28"/>
          <w:szCs w:val="28"/>
          <w:shd w:val="clear" w:color="auto" w:fill="FFFFFF"/>
          <w:lang w:val="ru-RU"/>
        </w:rPr>
        <w:t>https://ria.ru/20221116/sechenie-1832065968.html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 (дата обращения: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06.03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.202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6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).</w:t>
      </w:r>
    </w:p>
    <w:p w14:paraId="668DA2A0">
      <w:pPr>
        <w:widowControl w:val="0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eastAsia="Calibri" w:cs="Times New Roman"/>
          <w:sz w:val="28"/>
          <w:szCs w:val="28"/>
          <w:lang w:val="ru-RU" w:eastAsia="en-US"/>
        </w:rPr>
      </w:pPr>
      <w:bookmarkStart w:id="0" w:name="_Hlk153836790"/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Золотое сечение: применение </w:t>
      </w:r>
      <w:bookmarkStart w:id="1" w:name="_Hlk153836564"/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правила [Электронный ресурс] // GeekBrains - образовательный портал. – Электронные данные, 2024. – URL: </w:t>
      </w:r>
      <w:r>
        <w:rPr>
          <w:rFonts w:ascii="Times New Roman" w:hAnsi="Times New Roman" w:eastAsia="Arial"/>
          <w:color w:val="010101"/>
          <w:sz w:val="28"/>
          <w:szCs w:val="28"/>
          <w:shd w:val="clear" w:color="auto" w:fill="FFFFFF"/>
          <w:lang w:val="ru-RU"/>
        </w:rPr>
        <w:t>https://gb.ru/blog/zolotoe-sechenie/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 (дата обращения: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06.03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.202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6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).</w:t>
      </w:r>
    </w:p>
    <w:p w14:paraId="566045F8">
      <w:pPr>
        <w:widowControl w:val="0"/>
        <w:numPr>
          <w:ilvl w:val="0"/>
          <w:numId w:val="1"/>
        </w:numPr>
        <w:tabs>
          <w:tab w:val="left" w:pos="426"/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eastAsia="Calibri" w:cs="Times New Roman"/>
          <w:sz w:val="28"/>
          <w:szCs w:val="28"/>
          <w:lang w:val="ru-RU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Симметрия и асимметрия в искусстве [Электронный ресурс] // Художественная школа рисования Вдохновение. – Электронные данные, 2024. – URL: </w:t>
      </w:r>
      <w:r>
        <w:rPr>
          <w:rFonts w:ascii="Times New Roman" w:hAnsi="Times New Roman" w:eastAsia="Arial"/>
          <w:color w:val="010101"/>
          <w:sz w:val="28"/>
          <w:szCs w:val="28"/>
          <w:shd w:val="clear" w:color="auto" w:fill="FFFFFF"/>
          <w:lang w:val="ru-RU"/>
        </w:rPr>
        <w:t>https://www.izocenter.ru/blog/simmetriya-i-asimmetriya-v-iskusstve/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 xml:space="preserve"> (дата обращения: 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06.03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.202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en-US"/>
        </w:rPr>
        <w:t>6</w:t>
      </w:r>
      <w:r>
        <w:rPr>
          <w:rFonts w:ascii="Times New Roman" w:hAnsi="Times New Roman" w:eastAsia="Calibri" w:cs="Times New Roman"/>
          <w:sz w:val="28"/>
          <w:szCs w:val="28"/>
          <w:lang w:val="ru-RU" w:eastAsia="en-US"/>
        </w:rPr>
        <w:t>).</w:t>
      </w:r>
    </w:p>
    <w:bookmarkEnd w:id="0"/>
    <w:bookmarkEnd w:id="1"/>
    <w:p w14:paraId="6AC811FD">
      <w:pPr>
        <w:rPr>
          <w:rFonts w:hint="default" w:ascii="Times New Roman" w:hAnsi="Times New Roman" w:cs="Times New Roman" w:eastAsiaTheme="minorAscii"/>
          <w:b/>
          <w:bCs/>
          <w:color w:val="000000" w:themeColor="text1" w:themeTint="FF"/>
          <w:sz w:val="28"/>
          <w:szCs w:val="28"/>
          <w:lang w:val="ru-RU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</w:p>
    <w:sectPr>
      <w:pgSz w:w="11906" w:h="16838"/>
      <w:pgMar w:top="1417" w:right="850" w:bottom="1417" w:left="85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Unicode MS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altName w:val="Web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tifakt Element">
    <w:panose1 w:val="020B0503050000020004"/>
    <w:charset w:val="00"/>
    <w:family w:val="auto"/>
    <w:pitch w:val="default"/>
    <w:sig w:usb0="00000207" w:usb1="02000001" w:usb2="00000000" w:usb3="00000000" w:csb0="2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9" w:lineRule="auto"/>
      </w:pPr>
      <w:r>
        <w:separator/>
      </w:r>
    </w:p>
  </w:footnote>
  <w:footnote w:type="continuationSeparator" w:id="1">
    <w:p>
      <w:pPr>
        <w:spacing w:before="0" w:after="0" w:line="27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FB2E05"/>
    <w:multiLevelType w:val="multilevel"/>
    <w:tmpl w:val="0CFB2E05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63C79"/>
    <w:rsid w:val="0986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79" w:lineRule="auto"/>
    </w:pPr>
    <w:rPr>
      <w:rFonts w:asciiTheme="minorHAnsi" w:hAnsiTheme="minorHAnsi" w:eastAsiaTheme="minorHAnsi" w:cstheme="minorBidi"/>
      <w:sz w:val="24"/>
      <w:szCs w:val="24"/>
      <w:lang w:val="ru-RU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60" w:after="80"/>
      <w:outlineLvl w:val="0"/>
    </w:pPr>
    <w:rPr>
      <w:rFonts w:asciiTheme="majorAscii" w:hAnsiTheme="majorAscii" w:eastAsiaTheme="majorEastAsia" w:cstheme="majorBidi"/>
      <w:color w:val="5B9BD5" w:themeColor="accent1" w:themeTint="FF"/>
      <w:sz w:val="40"/>
      <w:szCs w:val="40"/>
      <w14:textFill>
        <w14:solidFill>
          <w14:schemeClr w14:val="accent1">
            <w14:lumMod w14:val="100000"/>
            <w14:lumOff w14:val="0"/>
          </w14:schemeClr>
        </w14:solidFill>
      </w14:textFill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0"/>
    <w:rPr>
      <w:b/>
      <w:bCs/>
    </w:rPr>
  </w:style>
  <w:style w:type="paragraph" w:styleId="7">
    <w:name w:val="Normal (Web)"/>
    <w:qFormat/>
    <w:uiPriority w:val="0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2026-03-07T04:25:00Z</dcterms:created>
  <dc:creator>WPS_1772444966</dc:creator>
  <cp:lastModifiedBy>WPS_1772444966</cp:lastModifiedBy>
  <dcterms:modified xsi:type="dcterms:W3CDTF">2026-03-07T06:16:24Z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C5B48CFDD4BF4FEEAD2BC66A25BDB026_11</vt:lpwstr>
  </property>
</Properties>
</file>