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80" w:before="240"/>
        <w:jc w:val="center"/>
      </w:pPr>
      <w:r>
        <w:rPr>
          <w:rFonts w:ascii="Arial" w:cs="Arial" w:eastAsia="Arial" w:hAnsi="Arial"/>
          <w:b/>
          <w:bCs/>
          <w:color w:val="2E4B8F"/>
          <w:sz w:val="32"/>
          <w:szCs w:val="32"/>
        </w:rPr>
        <w:t xml:space="preserve">АНАЛИЗ ОШИБОК В РЕЧИ ШКОЛЬНИКОВ</w:t>
      </w:r>
    </w:p>
    <w:p>
      <w:pPr>
        <w:spacing w:after="80"/>
        <w:jc w:val="center"/>
      </w:pPr>
      <w:r>
        <w:rPr>
          <w:rFonts w:ascii="Arial" w:cs="Arial" w:eastAsia="Arial" w:hAnsi="Arial"/>
          <w:b/>
          <w:bCs/>
          <w:color w:val="2E4B8F"/>
          <w:sz w:val="32"/>
          <w:szCs w:val="32"/>
        </w:rPr>
        <w:t xml:space="preserve">И ПУТИ ИХ ИСПРАВЛЕНИЯ</w:t>
      </w:r>
    </w:p>
    <w:p>
      <w:pPr>
        <w:spacing w:after="40"/>
        <w:jc w:val="center"/>
      </w:pPr>
      <w:r>
        <w:rPr>
          <w:rFonts w:ascii="Arial" w:cs="Arial" w:eastAsia="Arial" w:hAnsi="Arial"/>
          <w:color w:val="555555"/>
          <w:sz w:val="22"/>
          <w:szCs w:val="22"/>
        </w:rPr>
        <w:t xml:space="preserve">Научно-методическая статья</w:t>
      </w:r>
    </w:p>
    <w:p>
      <w:pPr>
        <w:pBdr>
          <w:bottom w:val="single" w:color="2E4B8F" w:sz="6" w:space="4"/>
        </w:pBdr>
        <w:spacing w:after="280"/>
      </w:pPr>
      <w:r>
        <w:t xml:space="preserve"/>
      </w:r>
    </w:p>
    <w:p>
      <w:pPr>
        <w:pStyle w:val="Heading1"/>
      </w:pPr>
      <w:r>
        <w:rPr>
          <w:b/>
          <w:bCs/>
        </w:rPr>
        <w:t xml:space="preserve">АННОТАЦИЯ</w:t>
      </w:r>
    </w:p>
    <w:p>
      <w:pPr>
        <w:spacing w:after="120"/>
        <w:ind w:left="360" w:right="360"/>
        <w:jc w:val="both"/>
      </w:pPr>
      <w:r>
        <w:rPr>
          <w:rFonts w:ascii="Times New Roman" w:cs="Times New Roman" w:eastAsia="Times New Roman" w:hAnsi="Times New Roman"/>
          <w:sz w:val="22"/>
          <w:szCs w:val="22"/>
        </w:rPr>
        <w:t xml:space="preserve">Статья посвящена актуальной проблеме педагогической практики — систематическому анализу речевых ошибок учащихся общеобразовательной школы и разработке методических путей их преодоления. Актуальность исследования обусловлена снижением общей речевой культуры школьников в условиях цифровизации коммуникации и доминирования неформальных регистров общения. В статье рассматриваются теоретические основы изучения речевых ошибок с опорой на труды отечественных учёных в области психологии речи и лингводидактики. Предлагается авторская типология ошибок по уровням языковой системы, обосновываются причины их возникновения в зависимости от возрастного этапа. Описана система практических методов работы учителя-словесника, ориентированных на предупреждение и устранение типичных нарушений. Статья адресована учителям русского языка и литературы, методистам и студентам педагогических специальностей.</w:t>
      </w:r>
    </w:p>
    <w:p>
      <w:pPr>
        <w:spacing w:after="80"/>
      </w:pPr>
      <w:r>
        <w:t xml:space="preserve"/>
      </w:r>
    </w:p>
    <w:p>
      <w:pPr>
        <w:pStyle w:val="Heading1"/>
      </w:pPr>
      <w:r>
        <w:rPr>
          <w:b/>
          <w:bCs/>
        </w:rPr>
        <w:t xml:space="preserve">КЛЮЧЕВЫЕ СЛОВА</w:t>
      </w:r>
    </w:p>
    <w:p>
      <w:pPr>
        <w:spacing w:after="120"/>
        <w:ind w:left="360" w:right="360"/>
        <w:jc w:val="both"/>
      </w:pPr>
      <w:r>
        <w:rPr>
          <w:rFonts w:ascii="Times New Roman" w:cs="Times New Roman" w:eastAsia="Times New Roman" w:hAnsi="Times New Roman"/>
          <w:sz w:val="22"/>
          <w:szCs w:val="22"/>
        </w:rPr>
        <w:t xml:space="preserve">речевые ошибки школьников; типология ошибок; лингводидактика; культура речи; работа над ошибками; коррекция речи; методика преподавания русского языка; развитие речи; языковая норма; речевая компетенция.</w:t>
      </w:r>
    </w:p>
    <w:p>
      <w:pPr>
        <w:pBdr>
          <w:bottom w:val="single" w:color="CCCCCC" w:sz="4" w:space="4"/>
        </w:pBdr>
        <w:spacing w:after="200"/>
      </w:pPr>
      <w:r>
        <w:t xml:space="preserve"/>
      </w:r>
    </w:p>
    <w:p>
      <w:pPr>
        <w:pStyle w:val="Heading1"/>
      </w:pPr>
      <w:r>
        <w:rPr>
          <w:b/>
          <w:bCs/>
        </w:rPr>
        <w:t xml:space="preserve">1. ВВЕДЕНИЕ</w:t>
      </w:r>
    </w:p>
    <w:p>
      <w:pPr>
        <w:spacing w:after="120"/>
        <w:ind w:firstLine="720"/>
        <w:jc w:val="both"/>
      </w:pPr>
      <w:r>
        <w:rPr>
          <w:sz w:val="24"/>
          <w:szCs w:val="24"/>
        </w:rPr>
        <w:t xml:space="preserve">Речь является одним из важнейших инструментов социализации личности и интеллектуального развития человека. Для школьника она выступает не только средством общения, но и орудием познания, средством освоения учебного материала и способом самовыражения. Именно поэтому состояние речевой культуры учащихся традиционно находится в центре внимания педагогики, лингвистики и психологии.</w:t>
      </w:r>
    </w:p>
    <w:p>
      <w:pPr>
        <w:spacing w:after="120"/>
        <w:ind w:firstLine="720"/>
        <w:jc w:val="both"/>
      </w:pPr>
      <w:r>
        <w:rPr>
          <w:sz w:val="24"/>
          <w:szCs w:val="24"/>
        </w:rPr>
        <w:t xml:space="preserve">Вместе с тем современная образовательная реальность обнаруживает устойчивую тенденцию к снижению грамотности устной и письменной речи школьников. Распространение мессенджеров, социальных сетей и иных форм опосредованной коммуникации привело к тому, что разговорная, сниженная лексика и упрощённые синтаксические конструкции стали восприниматься как норма. Учителя-словесники фиксируют рост ошибок как в письменных работах, так и в устных высказываниях учеников. Данное противоречие — между требованиями государственных образовательных стандартов к уровню речевого развития выпускников и реальным состоянием их речевой компетенции — определяет актуальность настоящей статьи.</w:t>
      </w:r>
    </w:p>
    <w:p>
      <w:pPr>
        <w:spacing w:after="120"/>
        <w:ind w:firstLine="720"/>
        <w:jc w:val="both"/>
      </w:pPr>
      <w:r>
        <w:rPr>
          <w:sz w:val="24"/>
          <w:szCs w:val="24"/>
        </w:rPr>
        <w:t xml:space="preserve">Следует отметить, что проблема речевых ошибок не нова: её изучением занимались М.Р. Львов, Т.А. Ладыженская, Н.С. Рождественский, а теоретическую базу для понимания природы речевых нарушений заложили Л.С. Выготский, А.Р. Лурия и А.А. Леонтьев в своих фундаментальных трудах по психологии речи. Тем не менее современные исследования в области лингводидактики фиксируют появление новых типов ошибок, обусловленных цифровой средой, а также изменение «рейтинга» частотности традиционных нарушений языковой нормы, что требует обновления методического арсенала педагога.</w:t>
      </w:r>
    </w:p>
    <w:p>
      <w:pPr>
        <w:spacing w:after="120"/>
        <w:ind w:firstLine="720"/>
        <w:jc w:val="both"/>
      </w:pPr>
      <w:r>
        <w:rPr>
          <w:sz w:val="24"/>
          <w:szCs w:val="24"/>
        </w:rPr>
        <w:t xml:space="preserve">Цель настоящей статьи — провести систематический анализ типичных речевых ошибок учащихся общеобразовательной школы, выявить их причины и предложить обоснованную систему методических приёмов по их предупреждению и коррекции.</w:t>
      </w:r>
    </w:p>
    <w:p>
      <w:pPr>
        <w:spacing w:after="80"/>
      </w:pPr>
      <w:r>
        <w:t xml:space="preserve"/>
      </w:r>
    </w:p>
    <w:p>
      <w:pPr>
        <w:pStyle w:val="Heading1"/>
      </w:pPr>
      <w:r>
        <w:rPr>
          <w:b/>
          <w:bCs/>
        </w:rPr>
        <w:t xml:space="preserve">2. ТЕОРЕТИЧЕСКИЕ ОСНОВЫ ИЗУЧЕНИЯ РЕЧЕВЫХ ОШИБОК</w:t>
      </w:r>
    </w:p>
    <w:p>
      <w:pPr>
        <w:pStyle w:val="Heading2"/>
      </w:pPr>
      <w:r>
        <w:rPr>
          <w:b/>
          <w:bCs/>
        </w:rPr>
        <w:t xml:space="preserve">2.1. Понятие речевой ошибки в научном дискурсе</w:t>
      </w:r>
    </w:p>
    <w:p>
      <w:pPr>
        <w:spacing w:after="120"/>
        <w:ind w:firstLine="720"/>
        <w:jc w:val="both"/>
      </w:pPr>
      <w:r>
        <w:rPr>
          <w:sz w:val="24"/>
          <w:szCs w:val="24"/>
        </w:rPr>
        <w:t xml:space="preserve">В лингводидактике и психолингвистике понятие «речевая ошибка» не имеет единого, общепризнанного определения, что само по себе отражает сложность изучаемого феномена. В широком смысле под речевой ошибкой понимается отклонение от норм литературного языка — фонетических, лексических, грамматических, стилистических. В узком, педагогическом смысле это фиксируемое нарушение в устном или письменном высказывании ученика, поддающееся классификации и коррекции.</w:t>
      </w:r>
    </w:p>
    <w:p>
      <w:pPr>
        <w:spacing w:after="120"/>
        <w:ind w:firstLine="720"/>
        <w:jc w:val="both"/>
      </w:pPr>
      <w:r>
        <w:rPr>
          <w:sz w:val="24"/>
          <w:szCs w:val="24"/>
        </w:rPr>
        <w:t xml:space="preserve">Принципиальное значение для педагогической практики имеет разграничение ошибок и оговорок (описок). Как показано в психолингвистических исследованиях, восходящих к работам А.А. Леонтьева по речевой деятельности, оговорки представляют собой случайные сбои в речепроизводстве, тогда как ошибки свидетельствуют о системных пробелах в языковой компетенции говорящего. Именно системные ошибки требуют целенаправленной педагогической работы.</w:t>
      </w:r>
    </w:p>
    <w:p>
      <w:pPr>
        <w:spacing w:after="120"/>
        <w:ind w:firstLine="720"/>
        <w:jc w:val="both"/>
      </w:pPr>
      <w:r>
        <w:rPr>
          <w:sz w:val="24"/>
          <w:szCs w:val="24"/>
        </w:rPr>
        <w:t xml:space="preserve">Л.С. Выготский в своих трудах по психологии развития подчёркивал, что речь ребёнка проходит закономерные этапы становления, и то, что на одном возрастном этапе является нормой, на другом — ошибкой. Это положение принципиально важно для педагога: нельзя подходить к анализу речевых нарушений без учёта возрастной специфики учащегося. Семиклассник, путающий паронимы, демонстрирует иной уровень проблемы, нежели первоклассник, допускающий те же ошибки.</w:t>
      </w:r>
    </w:p>
    <w:p>
      <w:pPr>
        <w:spacing w:after="120"/>
        <w:ind w:firstLine="720"/>
        <w:jc w:val="both"/>
      </w:pPr>
      <w:r>
        <w:rPr>
          <w:sz w:val="24"/>
          <w:szCs w:val="24"/>
        </w:rPr>
        <w:t xml:space="preserve">Д.Б. Эльконин в рамках теории учебной деятельности обосновал, что полноценное овладение языком предполагает формирование осознанного отношения к языковым единицам — умения анализировать, сравнивать и контролировать речевые высказывания. Отсутствие такого рефлексивного отношения к собственной речи является одной из ключевых причин воспроизведения ошибок.</w:t>
      </w:r>
    </w:p>
    <w:p>
      <w:pPr>
        <w:pStyle w:val="Heading2"/>
      </w:pPr>
      <w:r>
        <w:rPr>
          <w:b/>
          <w:bCs/>
        </w:rPr>
        <w:t xml:space="preserve">2.2. Типология речевых ошибок</w:t>
      </w:r>
    </w:p>
    <w:p>
      <w:pPr>
        <w:spacing w:after="120"/>
        <w:ind w:firstLine="720"/>
        <w:jc w:val="both"/>
      </w:pPr>
      <w:r>
        <w:rPr>
          <w:sz w:val="24"/>
          <w:szCs w:val="24"/>
        </w:rPr>
        <w:t xml:space="preserve">В методике преподавания русского языка сложилось несколько классификаций речевых ошибок. Наиболее функциональной для школьной практики представляется типология, основанная на уровнях языковой системы, поскольку она напрямую соотносится с программным материалом и позволяет связать работу над ошибками с изучаемыми разделами языкознания.</w:t>
      </w:r>
    </w:p>
    <w:p>
      <w:pPr>
        <w:spacing w:after="80"/>
      </w:pPr>
      <w:r>
        <w:t xml:space="preserve"/>
      </w:r>
    </w:p>
    <w:p>
      <w:pPr>
        <w:spacing w:after="80"/>
        <w:jc w:val="center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Таблица 1. Классификация речевых ошибок школьников по уровням языковой системы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200"/>
        <w:gridCol w:w="2200"/>
        <w:gridCol w:w="2626"/>
        <w:gridCol w:w="2000"/>
      </w:tblGrid>
      <w:tr>
        <w:trPr>
          <w:tblHeader/>
        </w:trPr>
        <w:tc>
          <w:tcPr>
            <w:tcW w:type="dxa" w:w="2200"/>
            <w:tcBorders>
              <w:top w:val="single" w:color="2E4B8F" w:sz="8"/>
              <w:left w:val="single" w:color="2E4B8F" w:sz="8"/>
              <w:bottom w:val="single" w:color="2E4B8F" w:sz="8"/>
              <w:right w:val="single" w:color="2E4B8F" w:sz="8"/>
            </w:tcBorders>
            <w:shd w:fill="2E4B8F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22"/>
                <w:szCs w:val="22"/>
              </w:rPr>
              <w:t xml:space="preserve">Тип ошибки</w:t>
            </w:r>
          </w:p>
        </w:tc>
        <w:tc>
          <w:tcPr>
            <w:tcW w:type="dxa" w:w="2200"/>
            <w:tcBorders>
              <w:top w:val="single" w:color="2E4B8F" w:sz="8"/>
              <w:left w:val="single" w:color="2E4B8F" w:sz="8"/>
              <w:bottom w:val="single" w:color="2E4B8F" w:sz="8"/>
              <w:right w:val="single" w:color="2E4B8F" w:sz="8"/>
            </w:tcBorders>
            <w:shd w:fill="2E4B8F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22"/>
                <w:szCs w:val="22"/>
              </w:rPr>
              <w:t xml:space="preserve">Уровень языка</w:t>
            </w:r>
          </w:p>
        </w:tc>
        <w:tc>
          <w:tcPr>
            <w:tcW w:type="dxa" w:w="2626"/>
            <w:tcBorders>
              <w:top w:val="single" w:color="2E4B8F" w:sz="8"/>
              <w:left w:val="single" w:color="2E4B8F" w:sz="8"/>
              <w:bottom w:val="single" w:color="2E4B8F" w:sz="8"/>
              <w:right w:val="single" w:color="2E4B8F" w:sz="8"/>
            </w:tcBorders>
            <w:shd w:fill="2E4B8F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22"/>
                <w:szCs w:val="22"/>
              </w:rPr>
              <w:t xml:space="preserve">Примеры</w:t>
            </w:r>
          </w:p>
        </w:tc>
        <w:tc>
          <w:tcPr>
            <w:tcW w:type="dxa" w:w="2000"/>
            <w:tcBorders>
              <w:top w:val="single" w:color="2E4B8F" w:sz="8"/>
              <w:left w:val="single" w:color="2E4B8F" w:sz="8"/>
              <w:bottom w:val="single" w:color="2E4B8F" w:sz="8"/>
              <w:right w:val="single" w:color="2E4B8F" w:sz="8"/>
            </w:tcBorders>
            <w:shd w:fill="2E4B8F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22"/>
                <w:szCs w:val="22"/>
              </w:rPr>
              <w:t xml:space="preserve">Типичный возраст</w:t>
            </w:r>
          </w:p>
        </w:tc>
      </w:tr>
      <w:tr>
        <w:tc>
          <w:tcPr>
            <w:tcW w:type="dxa" w:w="220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shd w:fill="EBF0FA" w:val="clear"/>
            <w:tcMar>
              <w:top w:type="dxa" w:w="80"/>
              <w:left w:type="dxa" w:w="150"/>
              <w:bottom w:type="dxa" w:w="80"/>
              <w:right w:type="dxa" w:w="150"/>
            </w:tcMar>
          </w:tcPr>
          <w:p>
            <w:r>
              <w:rPr>
                <w:sz w:val="22"/>
                <w:szCs w:val="22"/>
              </w:rPr>
              <w:t xml:space="preserve">Орфоэпические</w:t>
            </w:r>
          </w:p>
        </w:tc>
        <w:tc>
          <w:tcPr>
            <w:tcW w:type="dxa" w:w="220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shd w:fill="EBF0FA" w:val="clear"/>
            <w:tcMar>
              <w:top w:type="dxa" w:w="80"/>
              <w:left w:type="dxa" w:w="150"/>
              <w:bottom w:type="dxa" w:w="80"/>
              <w:right w:type="dxa" w:w="150"/>
            </w:tcMar>
          </w:tcPr>
          <w:p>
            <w:r>
              <w:rPr>
                <w:sz w:val="22"/>
                <w:szCs w:val="22"/>
              </w:rPr>
              <w:t xml:space="preserve">Фонетический</w:t>
            </w:r>
          </w:p>
        </w:tc>
        <w:tc>
          <w:tcPr>
            <w:tcW w:type="dxa" w:w="2626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shd w:fill="EBF0FA" w:val="clear"/>
            <w:tcMar>
              <w:top w:type="dxa" w:w="80"/>
              <w:left w:type="dxa" w:w="150"/>
              <w:bottom w:type="dxa" w:w="80"/>
              <w:right w:type="dxa" w:w="150"/>
            </w:tcMar>
          </w:tcPr>
          <w:p>
            <w:r>
              <w:rPr>
                <w:sz w:val="22"/>
                <w:szCs w:val="22"/>
              </w:rPr>
              <w:t xml:space="preserve">«звОнит», «договОр»</w:t>
            </w:r>
          </w:p>
        </w:tc>
        <w:tc>
          <w:tcPr>
            <w:tcW w:type="dxa" w:w="200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shd w:fill="EBF0FA" w:val="clear"/>
            <w:tcMar>
              <w:top w:type="dxa" w:w="80"/>
              <w:left w:type="dxa" w:w="150"/>
              <w:bottom w:type="dxa" w:w="80"/>
              <w:right w:type="dxa" w:w="150"/>
            </w:tcMar>
          </w:tcPr>
          <w:p>
            <w:r>
              <w:rPr>
                <w:sz w:val="22"/>
                <w:szCs w:val="22"/>
              </w:rPr>
              <w:t xml:space="preserve">5–9 класс</w:t>
            </w:r>
          </w:p>
        </w:tc>
      </w:tr>
      <w:tr>
        <w:tc>
          <w:tcPr>
            <w:tcW w:type="dxa" w:w="220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shd w:fill="FFFFFF" w:val="clear"/>
            <w:tcMar>
              <w:top w:type="dxa" w:w="80"/>
              <w:left w:type="dxa" w:w="150"/>
              <w:bottom w:type="dxa" w:w="80"/>
              <w:right w:type="dxa" w:w="150"/>
            </w:tcMar>
          </w:tcPr>
          <w:p>
            <w:r>
              <w:rPr>
                <w:sz w:val="22"/>
                <w:szCs w:val="22"/>
              </w:rPr>
              <w:t xml:space="preserve">Грамматические</w:t>
            </w:r>
          </w:p>
        </w:tc>
        <w:tc>
          <w:tcPr>
            <w:tcW w:type="dxa" w:w="220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shd w:fill="FFFFFF" w:val="clear"/>
            <w:tcMar>
              <w:top w:type="dxa" w:w="80"/>
              <w:left w:type="dxa" w:w="150"/>
              <w:bottom w:type="dxa" w:w="80"/>
              <w:right w:type="dxa" w:w="150"/>
            </w:tcMar>
          </w:tcPr>
          <w:p>
            <w:r>
              <w:rPr>
                <w:sz w:val="22"/>
                <w:szCs w:val="22"/>
              </w:rPr>
              <w:t xml:space="preserve">Морфологический</w:t>
            </w:r>
          </w:p>
        </w:tc>
        <w:tc>
          <w:tcPr>
            <w:tcW w:type="dxa" w:w="2626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shd w:fill="FFFFFF" w:val="clear"/>
            <w:tcMar>
              <w:top w:type="dxa" w:w="80"/>
              <w:left w:type="dxa" w:w="150"/>
              <w:bottom w:type="dxa" w:w="80"/>
              <w:right w:type="dxa" w:w="150"/>
            </w:tcMar>
          </w:tcPr>
          <w:p>
            <w:r>
              <w:rPr>
                <w:sz w:val="22"/>
                <w:szCs w:val="22"/>
              </w:rPr>
              <w:t xml:space="preserve">«более красивее», «ихний»</w:t>
            </w:r>
          </w:p>
        </w:tc>
        <w:tc>
          <w:tcPr>
            <w:tcW w:type="dxa" w:w="200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shd w:fill="FFFFFF" w:val="clear"/>
            <w:tcMar>
              <w:top w:type="dxa" w:w="80"/>
              <w:left w:type="dxa" w:w="150"/>
              <w:bottom w:type="dxa" w:w="80"/>
              <w:right w:type="dxa" w:w="150"/>
            </w:tcMar>
          </w:tcPr>
          <w:p>
            <w:r>
              <w:rPr>
                <w:sz w:val="22"/>
                <w:szCs w:val="22"/>
              </w:rPr>
              <w:t xml:space="preserve">1–7 класс</w:t>
            </w:r>
          </w:p>
        </w:tc>
      </w:tr>
      <w:tr>
        <w:tc>
          <w:tcPr>
            <w:tcW w:type="dxa" w:w="220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shd w:fill="EBF0FA" w:val="clear"/>
            <w:tcMar>
              <w:top w:type="dxa" w:w="80"/>
              <w:left w:type="dxa" w:w="150"/>
              <w:bottom w:type="dxa" w:w="80"/>
              <w:right w:type="dxa" w:w="150"/>
            </w:tcMar>
          </w:tcPr>
          <w:p>
            <w:r>
              <w:rPr>
                <w:sz w:val="22"/>
                <w:szCs w:val="22"/>
              </w:rPr>
              <w:t xml:space="preserve">Синтаксические</w:t>
            </w:r>
          </w:p>
        </w:tc>
        <w:tc>
          <w:tcPr>
            <w:tcW w:type="dxa" w:w="220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shd w:fill="EBF0FA" w:val="clear"/>
            <w:tcMar>
              <w:top w:type="dxa" w:w="80"/>
              <w:left w:type="dxa" w:w="150"/>
              <w:bottom w:type="dxa" w:w="80"/>
              <w:right w:type="dxa" w:w="150"/>
            </w:tcMar>
          </w:tcPr>
          <w:p>
            <w:r>
              <w:rPr>
                <w:sz w:val="22"/>
                <w:szCs w:val="22"/>
              </w:rPr>
              <w:t xml:space="preserve">Синтаксический</w:t>
            </w:r>
          </w:p>
        </w:tc>
        <w:tc>
          <w:tcPr>
            <w:tcW w:type="dxa" w:w="2626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shd w:fill="EBF0FA" w:val="clear"/>
            <w:tcMar>
              <w:top w:type="dxa" w:w="80"/>
              <w:left w:type="dxa" w:w="150"/>
              <w:bottom w:type="dxa" w:w="80"/>
              <w:right w:type="dxa" w:w="150"/>
            </w:tcMar>
          </w:tcPr>
          <w:p>
            <w:r>
              <w:rPr>
                <w:sz w:val="22"/>
                <w:szCs w:val="22"/>
              </w:rPr>
              <w:t xml:space="preserve">Нарушение согласования подлежащего и сказуемого</w:t>
            </w:r>
          </w:p>
        </w:tc>
        <w:tc>
          <w:tcPr>
            <w:tcW w:type="dxa" w:w="200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shd w:fill="EBF0FA" w:val="clear"/>
            <w:tcMar>
              <w:top w:type="dxa" w:w="80"/>
              <w:left w:type="dxa" w:w="150"/>
              <w:bottom w:type="dxa" w:w="80"/>
              <w:right w:type="dxa" w:w="150"/>
            </w:tcMar>
          </w:tcPr>
          <w:p>
            <w:r>
              <w:rPr>
                <w:sz w:val="22"/>
                <w:szCs w:val="22"/>
              </w:rPr>
              <w:t xml:space="preserve">3–9 класс</w:t>
            </w:r>
          </w:p>
        </w:tc>
      </w:tr>
      <w:tr>
        <w:tc>
          <w:tcPr>
            <w:tcW w:type="dxa" w:w="220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shd w:fill="FFFFFF" w:val="clear"/>
            <w:tcMar>
              <w:top w:type="dxa" w:w="80"/>
              <w:left w:type="dxa" w:w="150"/>
              <w:bottom w:type="dxa" w:w="80"/>
              <w:right w:type="dxa" w:w="150"/>
            </w:tcMar>
          </w:tcPr>
          <w:p>
            <w:r>
              <w:rPr>
                <w:sz w:val="22"/>
                <w:szCs w:val="22"/>
              </w:rPr>
              <w:t xml:space="preserve">Лексические</w:t>
            </w:r>
          </w:p>
        </w:tc>
        <w:tc>
          <w:tcPr>
            <w:tcW w:type="dxa" w:w="220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shd w:fill="FFFFFF" w:val="clear"/>
            <w:tcMar>
              <w:top w:type="dxa" w:w="80"/>
              <w:left w:type="dxa" w:w="150"/>
              <w:bottom w:type="dxa" w:w="80"/>
              <w:right w:type="dxa" w:w="150"/>
            </w:tcMar>
          </w:tcPr>
          <w:p>
            <w:r>
              <w:rPr>
                <w:sz w:val="22"/>
                <w:szCs w:val="22"/>
              </w:rPr>
              <w:t xml:space="preserve">Лексический</w:t>
            </w:r>
          </w:p>
        </w:tc>
        <w:tc>
          <w:tcPr>
            <w:tcW w:type="dxa" w:w="2626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shd w:fill="FFFFFF" w:val="clear"/>
            <w:tcMar>
              <w:top w:type="dxa" w:w="80"/>
              <w:left w:type="dxa" w:w="150"/>
              <w:bottom w:type="dxa" w:w="80"/>
              <w:right w:type="dxa" w:w="150"/>
            </w:tcMar>
          </w:tcPr>
          <w:p>
            <w:r>
              <w:rPr>
                <w:sz w:val="22"/>
                <w:szCs w:val="22"/>
              </w:rPr>
              <w:t xml:space="preserve">Паронимы: «надеть / одеть»</w:t>
            </w:r>
          </w:p>
        </w:tc>
        <w:tc>
          <w:tcPr>
            <w:tcW w:type="dxa" w:w="200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shd w:fill="FFFFFF" w:val="clear"/>
            <w:tcMar>
              <w:top w:type="dxa" w:w="80"/>
              <w:left w:type="dxa" w:w="150"/>
              <w:bottom w:type="dxa" w:w="80"/>
              <w:right w:type="dxa" w:w="150"/>
            </w:tcMar>
          </w:tcPr>
          <w:p>
            <w:r>
              <w:rPr>
                <w:sz w:val="22"/>
                <w:szCs w:val="22"/>
              </w:rPr>
              <w:t xml:space="preserve">4–11 класс</w:t>
            </w:r>
          </w:p>
        </w:tc>
      </w:tr>
      <w:tr>
        <w:tc>
          <w:tcPr>
            <w:tcW w:type="dxa" w:w="220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shd w:fill="EBF0FA" w:val="clear"/>
            <w:tcMar>
              <w:top w:type="dxa" w:w="80"/>
              <w:left w:type="dxa" w:w="150"/>
              <w:bottom w:type="dxa" w:w="80"/>
              <w:right w:type="dxa" w:w="150"/>
            </w:tcMar>
          </w:tcPr>
          <w:p>
            <w:r>
              <w:rPr>
                <w:sz w:val="22"/>
                <w:szCs w:val="22"/>
              </w:rPr>
              <w:t xml:space="preserve">Стилистические</w:t>
            </w:r>
          </w:p>
        </w:tc>
        <w:tc>
          <w:tcPr>
            <w:tcW w:type="dxa" w:w="220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shd w:fill="EBF0FA" w:val="clear"/>
            <w:tcMar>
              <w:top w:type="dxa" w:w="80"/>
              <w:left w:type="dxa" w:w="150"/>
              <w:bottom w:type="dxa" w:w="80"/>
              <w:right w:type="dxa" w:w="150"/>
            </w:tcMar>
          </w:tcPr>
          <w:p>
            <w:r>
              <w:rPr>
                <w:sz w:val="22"/>
                <w:szCs w:val="22"/>
              </w:rPr>
              <w:t xml:space="preserve">Стилистический</w:t>
            </w:r>
          </w:p>
        </w:tc>
        <w:tc>
          <w:tcPr>
            <w:tcW w:type="dxa" w:w="2626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shd w:fill="EBF0FA" w:val="clear"/>
            <w:tcMar>
              <w:top w:type="dxa" w:w="80"/>
              <w:left w:type="dxa" w:w="150"/>
              <w:bottom w:type="dxa" w:w="80"/>
              <w:right w:type="dxa" w:w="150"/>
            </w:tcMar>
          </w:tcPr>
          <w:p>
            <w:r>
              <w:rPr>
                <w:sz w:val="22"/>
                <w:szCs w:val="22"/>
              </w:rPr>
              <w:t xml:space="preserve">Смешение книжного и разговорного стилей</w:t>
            </w:r>
          </w:p>
        </w:tc>
        <w:tc>
          <w:tcPr>
            <w:tcW w:type="dxa" w:w="200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shd w:fill="EBF0FA" w:val="clear"/>
            <w:tcMar>
              <w:top w:type="dxa" w:w="80"/>
              <w:left w:type="dxa" w:w="150"/>
              <w:bottom w:type="dxa" w:w="80"/>
              <w:right w:type="dxa" w:w="150"/>
            </w:tcMar>
          </w:tcPr>
          <w:p>
            <w:r>
              <w:rPr>
                <w:sz w:val="22"/>
                <w:szCs w:val="22"/>
              </w:rPr>
              <w:t xml:space="preserve">6–11 класс</w:t>
            </w:r>
          </w:p>
        </w:tc>
      </w:tr>
      <w:tr>
        <w:tc>
          <w:tcPr>
            <w:tcW w:type="dxa" w:w="220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shd w:fill="FFFFFF" w:val="clear"/>
            <w:tcMar>
              <w:top w:type="dxa" w:w="80"/>
              <w:left w:type="dxa" w:w="150"/>
              <w:bottom w:type="dxa" w:w="80"/>
              <w:right w:type="dxa" w:w="150"/>
            </w:tcMar>
          </w:tcPr>
          <w:p>
            <w:r>
              <w:rPr>
                <w:sz w:val="22"/>
                <w:szCs w:val="22"/>
              </w:rPr>
              <w:t xml:space="preserve">Логические</w:t>
            </w:r>
          </w:p>
        </w:tc>
        <w:tc>
          <w:tcPr>
            <w:tcW w:type="dxa" w:w="220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shd w:fill="FFFFFF" w:val="clear"/>
            <w:tcMar>
              <w:top w:type="dxa" w:w="80"/>
              <w:left w:type="dxa" w:w="150"/>
              <w:bottom w:type="dxa" w:w="80"/>
              <w:right w:type="dxa" w:w="150"/>
            </w:tcMar>
          </w:tcPr>
          <w:p>
            <w:r>
              <w:rPr>
                <w:sz w:val="22"/>
                <w:szCs w:val="22"/>
              </w:rPr>
              <w:t xml:space="preserve">Текстовый</w:t>
            </w:r>
          </w:p>
        </w:tc>
        <w:tc>
          <w:tcPr>
            <w:tcW w:type="dxa" w:w="2626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shd w:fill="FFFFFF" w:val="clear"/>
            <w:tcMar>
              <w:top w:type="dxa" w:w="80"/>
              <w:left w:type="dxa" w:w="150"/>
              <w:bottom w:type="dxa" w:w="80"/>
              <w:right w:type="dxa" w:w="150"/>
            </w:tcMar>
          </w:tcPr>
          <w:p>
            <w:r>
              <w:rPr>
                <w:sz w:val="22"/>
                <w:szCs w:val="22"/>
              </w:rPr>
              <w:t xml:space="preserve">Нарушение последовательности изложения</w:t>
            </w:r>
          </w:p>
        </w:tc>
        <w:tc>
          <w:tcPr>
            <w:tcW w:type="dxa" w:w="200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shd w:fill="FFFFFF" w:val="clear"/>
            <w:tcMar>
              <w:top w:type="dxa" w:w="80"/>
              <w:left w:type="dxa" w:w="150"/>
              <w:bottom w:type="dxa" w:w="80"/>
              <w:right w:type="dxa" w:w="150"/>
            </w:tcMar>
          </w:tcPr>
          <w:p>
            <w:r>
              <w:rPr>
                <w:sz w:val="22"/>
                <w:szCs w:val="22"/>
              </w:rPr>
              <w:t xml:space="preserve">5–11 класс</w:t>
            </w:r>
          </w:p>
        </w:tc>
      </w:tr>
    </w:tbl>
    <w:p>
      <w:pPr>
        <w:spacing w:after="80"/>
      </w:pPr>
      <w:r>
        <w:t xml:space="preserve"/>
      </w:r>
    </w:p>
    <w:p>
      <w:pPr>
        <w:spacing w:after="120"/>
        <w:ind w:firstLine="720"/>
        <w:jc w:val="both"/>
      </w:pPr>
      <w:r>
        <w:rPr>
          <w:sz w:val="24"/>
          <w:szCs w:val="24"/>
        </w:rPr>
        <w:t xml:space="preserve">Орфоэпические ошибки (нарушения норм произношения и ударения) широко распространены в среднем звене школы и нередко сохраняются вплоть до выпускного класса. Их причиной, как правило, является влияние диалектной или просторечной среды, а также некритическое воспроизведение неверных форм, услышанных в медиапространстве.</w:t>
      </w:r>
    </w:p>
    <w:p>
      <w:pPr>
        <w:spacing w:after="120"/>
        <w:ind w:firstLine="720"/>
        <w:jc w:val="both"/>
      </w:pPr>
      <w:r>
        <w:rPr>
          <w:sz w:val="24"/>
          <w:szCs w:val="24"/>
        </w:rPr>
        <w:t xml:space="preserve">Грамматические ошибки охватывают нарушения норм словообразования, словоизменения и построения синтаксических конструкций. В начальной школе они преимущественно связаны с освоением системы склонений и спряжений; в среднем звене — с согласованием и управлением; в старших классах — с правилами построения сложных синтаксических конструкций.</w:t>
      </w:r>
    </w:p>
    <w:p>
      <w:pPr>
        <w:spacing w:after="120"/>
        <w:ind w:firstLine="720"/>
        <w:jc w:val="both"/>
      </w:pPr>
      <w:r>
        <w:rPr>
          <w:sz w:val="24"/>
          <w:szCs w:val="24"/>
        </w:rPr>
        <w:t xml:space="preserve">Лексические ошибки — смешение паронимов, употребление слова в несвойственном значении, плеоназм, тавтология — особенно характерны для учащихся 5–8 классов, когда словарный запас активно расширяется, но ещё не достигает стабильности.</w:t>
      </w:r>
    </w:p>
    <w:p>
      <w:pPr>
        <w:spacing w:after="120"/>
        <w:ind w:firstLine="720"/>
        <w:jc w:val="both"/>
      </w:pPr>
      <w:r>
        <w:rPr>
          <w:sz w:val="24"/>
          <w:szCs w:val="24"/>
        </w:rPr>
        <w:t xml:space="preserve">Стилистические ошибки (нарушение стилевого единства, неоправданное использование сниженной лексики в официальном контексте) наиболее актуальны для старшеклассников, которым предстоит работать с разными функциональными стилями речи.</w:t>
      </w:r>
    </w:p>
    <w:p>
      <w:pPr>
        <w:spacing w:after="80"/>
      </w:pPr>
      <w:r>
        <w:t xml:space="preserve"/>
      </w:r>
    </w:p>
    <w:p>
      <w:pPr>
        <w:pStyle w:val="Heading1"/>
      </w:pPr>
      <w:r>
        <w:rPr>
          <w:b/>
          <w:bCs/>
        </w:rPr>
        <w:t xml:space="preserve">3. ПРИЧИНЫ ВОЗНИКНОВЕНИЯ РЕЧЕВЫХ ОШИБОК</w:t>
      </w:r>
    </w:p>
    <w:p>
      <w:pPr>
        <w:pStyle w:val="Heading2"/>
      </w:pPr>
      <w:r>
        <w:rPr>
          <w:b/>
          <w:bCs/>
        </w:rPr>
        <w:t xml:space="preserve">3.1. Психолого-педагогические факторы</w:t>
      </w:r>
    </w:p>
    <w:p>
      <w:pPr>
        <w:spacing w:after="120"/>
        <w:ind w:firstLine="720"/>
        <w:jc w:val="both"/>
      </w:pPr>
      <w:r>
        <w:rPr>
          <w:sz w:val="24"/>
          <w:szCs w:val="24"/>
        </w:rPr>
        <w:t xml:space="preserve">Анализ методической литературы позволяет выделить несколько групп причин, обусловливающих устойчивость речевых ошибок в школьной практике. Первая и наиболее значимая группа — психологические факторы. Согласно концепции С.Л. Рубинштейна о единстве сознания и деятельности, речевая ошибка есть не просто результат незнания правила, но отражение несформированности соответствующего умственного действия — анализа, синтеза, обобщения языковых явлений. Механическое заучивание правил без их осмысления и применения в собственной речи не даёт стойкого результата.</w:t>
      </w:r>
    </w:p>
    <w:p>
      <w:pPr>
        <w:spacing w:after="120"/>
        <w:ind w:firstLine="720"/>
        <w:jc w:val="both"/>
      </w:pPr>
      <w:r>
        <w:rPr>
          <w:sz w:val="24"/>
          <w:szCs w:val="24"/>
        </w:rPr>
        <w:t xml:space="preserve">Вторая группа причин — социолингвистические факторы. Речевая среда, в которой воспитывается ребёнок, оказывает на формирование его языковой нормы едва ли не большее влияние, чем школьное обучение. Если в семье устойчиво употребляются просторечные формы, ребёнок воспринимает их как эталон. Преодоление этого влияния требует систематической и деликатной работы.</w:t>
      </w:r>
    </w:p>
    <w:p>
      <w:pPr>
        <w:spacing w:after="120"/>
        <w:ind w:firstLine="720"/>
        <w:jc w:val="both"/>
      </w:pPr>
      <w:r>
        <w:rPr>
          <w:sz w:val="24"/>
          <w:szCs w:val="24"/>
        </w:rPr>
        <w:t xml:space="preserve">Третья группа — дидактические факторы. Исследования в области методики показывают, что недостаточное внимание к устной речи на уроке, ориентация исключительно на письменные формы контроля, отсутствие систематической работы по развитию речи приводят к тому, что ошибки не фиксируются и не осознаются учеником.</w:t>
      </w:r>
    </w:p>
    <w:p>
      <w:pPr>
        <w:pStyle w:val="Heading2"/>
      </w:pPr>
      <w:r>
        <w:rPr>
          <w:b/>
          <w:bCs/>
        </w:rPr>
        <w:t xml:space="preserve">3.2. Влияние цифровой среды</w:t>
      </w:r>
    </w:p>
    <w:p>
      <w:pPr>
        <w:spacing w:after="120"/>
        <w:ind w:firstLine="720"/>
        <w:jc w:val="both"/>
      </w:pPr>
      <w:r>
        <w:rPr>
          <w:sz w:val="24"/>
          <w:szCs w:val="24"/>
        </w:rPr>
        <w:t xml:space="preserve">Особого внимания заслуживает проблема влияния цифровой коммуникации на речевую культуру школьников — фактор, ставший принципиально значимым в последнее десятилетие. Интернет-общение характеризуется принципиальной установкой на скорость, а не на нормативность. Сокращения, намеренные орфографические искажения («превед», «медвед»), смешение кириллицы и латиницы, отсутствие знаков препинания — всё это формирует у школьника альтернативную «норму», вступающую в противоречие с требованиями литературного языка.</w:t>
      </w:r>
    </w:p>
    <w:p>
      <w:pPr>
        <w:spacing w:after="120"/>
        <w:ind w:firstLine="720"/>
        <w:jc w:val="both"/>
      </w:pPr>
      <w:r>
        <w:rPr>
          <w:sz w:val="24"/>
          <w:szCs w:val="24"/>
        </w:rPr>
        <w:t xml:space="preserve">Анализ педагогической практики последних лет свидетельствует о том, что данная тенденция приводит к возникновению новой категории ошибок — «цифровых переносов»: перенесения в письменную учебную речь форм, характерных для мессенджеров. Противодействие этой тенденции требует не запрета, а формирования у учащегося осознанного умения переключаться между регистрами речи в зависимости от коммуникативной ситуации.</w:t>
      </w:r>
    </w:p>
    <w:p>
      <w:pPr>
        <w:spacing w:after="80"/>
      </w:pPr>
      <w:r>
        <w:t xml:space="preserve"/>
      </w:r>
    </w:p>
    <w:p>
      <w:pPr>
        <w:pStyle w:val="Heading1"/>
      </w:pPr>
      <w:r>
        <w:rPr>
          <w:b/>
          <w:bCs/>
        </w:rPr>
        <w:t xml:space="preserve">4. МЕТОДИКА РАБОТЫ НАД РЕЧЕВЫМИ ОШИБКАМИ</w:t>
      </w:r>
    </w:p>
    <w:p>
      <w:pPr>
        <w:pStyle w:val="Heading2"/>
      </w:pPr>
      <w:r>
        <w:rPr>
          <w:b/>
          <w:bCs/>
        </w:rPr>
        <w:t xml:space="preserve">4.1. Принципы организации работы</w:t>
      </w:r>
    </w:p>
    <w:p>
      <w:pPr>
        <w:spacing w:after="120"/>
        <w:ind w:firstLine="720"/>
        <w:jc w:val="both"/>
      </w:pPr>
      <w:r>
        <w:rPr>
          <w:sz w:val="24"/>
          <w:szCs w:val="24"/>
        </w:rPr>
        <w:t xml:space="preserve">Эффективная методическая работа по преодолению речевых ошибок строится на ряде дидактических принципов, сформулированных в отечественной педагогике. Принцип системности предполагает, что работа над ошибками не может быть эпизодической — она должна быть встроена в логику каждого урока. Принцип сознательности, восходящий к дидактике К.Д. Ушинского, требует, чтобы ученик не просто исправлял ошибку, но понимал её природу. Принцип опережающего обучения — в духе идей Л.С. Выготского о зоне ближайшего развития — ориентирует педагога на предупреждение ошибок, а не только на их коррекцию.</w:t>
      </w:r>
    </w:p>
    <w:p>
      <w:pPr>
        <w:spacing w:after="120"/>
        <w:ind w:firstLine="720"/>
        <w:jc w:val="both"/>
      </w:pPr>
      <w:r>
        <w:rPr>
          <w:sz w:val="24"/>
          <w:szCs w:val="24"/>
        </w:rPr>
        <w:t xml:space="preserve">Исходя из этих принципов, работу над ошибками целесообразно рассматривать как трёхэтапный процесс: диагностический (выявление и классификация ошибок), аналитический (осмысление причин и механизмов их возникновения) и коррекционный (выполнение системы упражнений, направленных на устранение нарушений).</w:t>
      </w:r>
    </w:p>
    <w:p>
      <w:pPr>
        <w:pStyle w:val="Heading2"/>
      </w:pPr>
      <w:r>
        <w:rPr>
          <w:b/>
          <w:bCs/>
        </w:rPr>
        <w:t xml:space="preserve">4.2. Методы и приёмы коррекции ошибок</w:t>
      </w:r>
    </w:p>
    <w:p>
      <w:pPr>
        <w:spacing w:after="80"/>
      </w:pPr>
      <w:r>
        <w:t xml:space="preserve"/>
      </w:r>
    </w:p>
    <w:p>
      <w:pPr>
        <w:spacing w:after="80"/>
        <w:jc w:val="center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Таблица 2. Методы работы над речевыми ошибками школьников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500"/>
        <w:gridCol w:w="3026"/>
        <w:gridCol w:w="1800"/>
        <w:gridCol w:w="1700"/>
      </w:tblGrid>
      <w:tr>
        <w:trPr>
          <w:tblHeader/>
        </w:trPr>
        <w:tc>
          <w:tcPr>
            <w:tcW w:type="dxa" w:w="2500"/>
            <w:tcBorders>
              <w:top w:val="single" w:color="2E4B8F" w:sz="8"/>
              <w:left w:val="single" w:color="2E4B8F" w:sz="8"/>
              <w:bottom w:val="single" w:color="2E4B8F" w:sz="8"/>
              <w:right w:val="single" w:color="2E4B8F" w:sz="8"/>
            </w:tcBorders>
            <w:shd w:fill="1B6B3A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22"/>
                <w:szCs w:val="22"/>
              </w:rPr>
              <w:t xml:space="preserve">Метод</w:t>
            </w:r>
          </w:p>
        </w:tc>
        <w:tc>
          <w:tcPr>
            <w:tcW w:type="dxa" w:w="3026"/>
            <w:tcBorders>
              <w:top w:val="single" w:color="2E4B8F" w:sz="8"/>
              <w:left w:val="single" w:color="2E4B8F" w:sz="8"/>
              <w:bottom w:val="single" w:color="2E4B8F" w:sz="8"/>
              <w:right w:val="single" w:color="2E4B8F" w:sz="8"/>
            </w:tcBorders>
            <w:shd w:fill="1B6B3A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22"/>
                <w:szCs w:val="22"/>
              </w:rPr>
              <w:t xml:space="preserve">Описание</w:t>
            </w:r>
          </w:p>
        </w:tc>
        <w:tc>
          <w:tcPr>
            <w:tcW w:type="dxa" w:w="1800"/>
            <w:tcBorders>
              <w:top w:val="single" w:color="2E4B8F" w:sz="8"/>
              <w:left w:val="single" w:color="2E4B8F" w:sz="8"/>
              <w:bottom w:val="single" w:color="2E4B8F" w:sz="8"/>
              <w:right w:val="single" w:color="2E4B8F" w:sz="8"/>
            </w:tcBorders>
            <w:shd w:fill="1B6B3A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22"/>
                <w:szCs w:val="22"/>
              </w:rPr>
              <w:t xml:space="preserve">Тип ошибок</w:t>
            </w:r>
          </w:p>
        </w:tc>
        <w:tc>
          <w:tcPr>
            <w:tcW w:type="dxa" w:w="1700"/>
            <w:tcBorders>
              <w:top w:val="single" w:color="2E4B8F" w:sz="8"/>
              <w:left w:val="single" w:color="2E4B8F" w:sz="8"/>
              <w:bottom w:val="single" w:color="2E4B8F" w:sz="8"/>
              <w:right w:val="single" w:color="2E4B8F" w:sz="8"/>
            </w:tcBorders>
            <w:shd w:fill="1B6B3A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22"/>
                <w:szCs w:val="22"/>
              </w:rPr>
              <w:t xml:space="preserve">Эффективность</w:t>
            </w:r>
          </w:p>
        </w:tc>
      </w:tr>
      <w:tr>
        <w:tc>
          <w:tcPr>
            <w:tcW w:type="dxa" w:w="250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shd w:fill="E8F5EE" w:val="clear"/>
            <w:tcMar>
              <w:top w:type="dxa" w:w="80"/>
              <w:left w:type="dxa" w:w="150"/>
              <w:bottom w:type="dxa" w:w="80"/>
              <w:right w:type="dxa" w:w="150"/>
            </w:tcMar>
          </w:tcPr>
          <w:p>
            <w:r>
              <w:rPr>
                <w:sz w:val="22"/>
                <w:szCs w:val="22"/>
              </w:rPr>
              <w:t xml:space="preserve">Образцовое чтение</w:t>
            </w:r>
          </w:p>
        </w:tc>
        <w:tc>
          <w:tcPr>
            <w:tcW w:type="dxa" w:w="3026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shd w:fill="E8F5EE" w:val="clear"/>
            <w:tcMar>
              <w:top w:type="dxa" w:w="80"/>
              <w:left w:type="dxa" w:w="150"/>
              <w:bottom w:type="dxa" w:w="80"/>
              <w:right w:type="dxa" w:w="150"/>
            </w:tcMar>
          </w:tcPr>
          <w:p>
            <w:r>
              <w:rPr>
                <w:sz w:val="22"/>
                <w:szCs w:val="22"/>
              </w:rPr>
              <w:t xml:space="preserve">Учитель читает вслух, акцентируя нормативное произношение</w:t>
            </w:r>
          </w:p>
        </w:tc>
        <w:tc>
          <w:tcPr>
            <w:tcW w:type="dxa" w:w="180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shd w:fill="E8F5EE" w:val="clear"/>
            <w:tcMar>
              <w:top w:type="dxa" w:w="80"/>
              <w:left w:type="dxa" w:w="150"/>
              <w:bottom w:type="dxa" w:w="80"/>
              <w:right w:type="dxa" w:w="150"/>
            </w:tcMar>
          </w:tcPr>
          <w:p>
            <w:r>
              <w:rPr>
                <w:sz w:val="22"/>
                <w:szCs w:val="22"/>
              </w:rPr>
              <w:t xml:space="preserve">Орфоэпические</w:t>
            </w:r>
          </w:p>
        </w:tc>
        <w:tc>
          <w:tcPr>
            <w:tcW w:type="dxa" w:w="170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shd w:fill="E8F5EE" w:val="clear"/>
            <w:tcMar>
              <w:top w:type="dxa" w:w="80"/>
              <w:left w:type="dxa" w:w="150"/>
              <w:bottom w:type="dxa" w:w="80"/>
              <w:right w:type="dxa" w:w="150"/>
            </w:tcMar>
          </w:tcPr>
          <w:p>
            <w:r>
              <w:rPr>
                <w:sz w:val="22"/>
                <w:szCs w:val="22"/>
              </w:rPr>
              <w:t xml:space="preserve">Высокая</w:t>
            </w:r>
          </w:p>
        </w:tc>
      </w:tr>
      <w:tr>
        <w:tc>
          <w:tcPr>
            <w:tcW w:type="dxa" w:w="250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shd w:fill="FFFFFF" w:val="clear"/>
            <w:tcMar>
              <w:top w:type="dxa" w:w="80"/>
              <w:left w:type="dxa" w:w="150"/>
              <w:bottom w:type="dxa" w:w="80"/>
              <w:right w:type="dxa" w:w="150"/>
            </w:tcMar>
          </w:tcPr>
          <w:p>
            <w:r>
              <w:rPr>
                <w:sz w:val="22"/>
                <w:szCs w:val="22"/>
              </w:rPr>
              <w:t xml:space="preserve">Работа с деформированным текстом</w:t>
            </w:r>
          </w:p>
        </w:tc>
        <w:tc>
          <w:tcPr>
            <w:tcW w:type="dxa" w:w="3026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shd w:fill="FFFFFF" w:val="clear"/>
            <w:tcMar>
              <w:top w:type="dxa" w:w="80"/>
              <w:left w:type="dxa" w:w="150"/>
              <w:bottom w:type="dxa" w:w="80"/>
              <w:right w:type="dxa" w:w="150"/>
            </w:tcMar>
          </w:tcPr>
          <w:p>
            <w:r>
              <w:rPr>
                <w:sz w:val="22"/>
                <w:szCs w:val="22"/>
              </w:rPr>
              <w:t xml:space="preserve">Ученик находит и исправляет намеренно допущенные ошибки</w:t>
            </w:r>
          </w:p>
        </w:tc>
        <w:tc>
          <w:tcPr>
            <w:tcW w:type="dxa" w:w="180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shd w:fill="FFFFFF" w:val="clear"/>
            <w:tcMar>
              <w:top w:type="dxa" w:w="80"/>
              <w:left w:type="dxa" w:w="150"/>
              <w:bottom w:type="dxa" w:w="80"/>
              <w:right w:type="dxa" w:w="150"/>
            </w:tcMar>
          </w:tcPr>
          <w:p>
            <w:r>
              <w:rPr>
                <w:sz w:val="22"/>
                <w:szCs w:val="22"/>
              </w:rPr>
              <w:t xml:space="preserve">Грамматические, лексические</w:t>
            </w:r>
          </w:p>
        </w:tc>
        <w:tc>
          <w:tcPr>
            <w:tcW w:type="dxa" w:w="170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shd w:fill="FFFFFF" w:val="clear"/>
            <w:tcMar>
              <w:top w:type="dxa" w:w="80"/>
              <w:left w:type="dxa" w:w="150"/>
              <w:bottom w:type="dxa" w:w="80"/>
              <w:right w:type="dxa" w:w="150"/>
            </w:tcMar>
          </w:tcPr>
          <w:p>
            <w:r>
              <w:rPr>
                <w:sz w:val="22"/>
                <w:szCs w:val="22"/>
              </w:rPr>
              <w:t xml:space="preserve">Высокая</w:t>
            </w:r>
          </w:p>
        </w:tc>
      </w:tr>
      <w:tr>
        <w:tc>
          <w:tcPr>
            <w:tcW w:type="dxa" w:w="250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shd w:fill="E8F5EE" w:val="clear"/>
            <w:tcMar>
              <w:top w:type="dxa" w:w="80"/>
              <w:left w:type="dxa" w:w="150"/>
              <w:bottom w:type="dxa" w:w="80"/>
              <w:right w:type="dxa" w:w="150"/>
            </w:tcMar>
          </w:tcPr>
          <w:p>
            <w:r>
              <w:rPr>
                <w:sz w:val="22"/>
                <w:szCs w:val="22"/>
              </w:rPr>
              <w:t xml:space="preserve">Лингвистический анализ текста</w:t>
            </w:r>
          </w:p>
        </w:tc>
        <w:tc>
          <w:tcPr>
            <w:tcW w:type="dxa" w:w="3026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shd w:fill="E8F5EE" w:val="clear"/>
            <w:tcMar>
              <w:top w:type="dxa" w:w="80"/>
              <w:left w:type="dxa" w:w="150"/>
              <w:bottom w:type="dxa" w:w="80"/>
              <w:right w:type="dxa" w:w="150"/>
            </w:tcMar>
          </w:tcPr>
          <w:p>
            <w:r>
              <w:rPr>
                <w:sz w:val="22"/>
                <w:szCs w:val="22"/>
              </w:rPr>
              <w:t xml:space="preserve">Разбор образцовых и дефектных текстов по алгоритму</w:t>
            </w:r>
          </w:p>
        </w:tc>
        <w:tc>
          <w:tcPr>
            <w:tcW w:type="dxa" w:w="180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shd w:fill="E8F5EE" w:val="clear"/>
            <w:tcMar>
              <w:top w:type="dxa" w:w="80"/>
              <w:left w:type="dxa" w:w="150"/>
              <w:bottom w:type="dxa" w:w="80"/>
              <w:right w:type="dxa" w:w="150"/>
            </w:tcMar>
          </w:tcPr>
          <w:p>
            <w:r>
              <w:rPr>
                <w:sz w:val="22"/>
                <w:szCs w:val="22"/>
              </w:rPr>
              <w:t xml:space="preserve">Стилистические, логические</w:t>
            </w:r>
          </w:p>
        </w:tc>
        <w:tc>
          <w:tcPr>
            <w:tcW w:type="dxa" w:w="170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shd w:fill="E8F5EE" w:val="clear"/>
            <w:tcMar>
              <w:top w:type="dxa" w:w="80"/>
              <w:left w:type="dxa" w:w="150"/>
              <w:bottom w:type="dxa" w:w="80"/>
              <w:right w:type="dxa" w:w="150"/>
            </w:tcMar>
          </w:tcPr>
          <w:p>
            <w:r>
              <w:rPr>
                <w:sz w:val="22"/>
                <w:szCs w:val="22"/>
              </w:rPr>
              <w:t xml:space="preserve">Средняя / высокая</w:t>
            </w:r>
          </w:p>
        </w:tc>
      </w:tr>
      <w:tr>
        <w:tc>
          <w:tcPr>
            <w:tcW w:type="dxa" w:w="250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shd w:fill="FFFFFF" w:val="clear"/>
            <w:tcMar>
              <w:top w:type="dxa" w:w="80"/>
              <w:left w:type="dxa" w:w="150"/>
              <w:bottom w:type="dxa" w:w="80"/>
              <w:right w:type="dxa" w:w="150"/>
            </w:tcMar>
          </w:tcPr>
          <w:p>
            <w:r>
              <w:rPr>
                <w:sz w:val="22"/>
                <w:szCs w:val="22"/>
              </w:rPr>
              <w:t xml:space="preserve">Ролевые и дидактические игры</w:t>
            </w:r>
          </w:p>
        </w:tc>
        <w:tc>
          <w:tcPr>
            <w:tcW w:type="dxa" w:w="3026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shd w:fill="FFFFFF" w:val="clear"/>
            <w:tcMar>
              <w:top w:type="dxa" w:w="80"/>
              <w:left w:type="dxa" w:w="150"/>
              <w:bottom w:type="dxa" w:w="80"/>
              <w:right w:type="dxa" w:w="150"/>
            </w:tcMar>
          </w:tcPr>
          <w:p>
            <w:r>
              <w:rPr>
                <w:sz w:val="22"/>
                <w:szCs w:val="22"/>
              </w:rPr>
              <w:t xml:space="preserve">Диалоги, дебаты, публичные выступления с рефлексией</w:t>
            </w:r>
          </w:p>
        </w:tc>
        <w:tc>
          <w:tcPr>
            <w:tcW w:type="dxa" w:w="180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shd w:fill="FFFFFF" w:val="clear"/>
            <w:tcMar>
              <w:top w:type="dxa" w:w="80"/>
              <w:left w:type="dxa" w:w="150"/>
              <w:bottom w:type="dxa" w:w="80"/>
              <w:right w:type="dxa" w:w="150"/>
            </w:tcMar>
          </w:tcPr>
          <w:p>
            <w:r>
              <w:rPr>
                <w:sz w:val="22"/>
                <w:szCs w:val="22"/>
              </w:rPr>
              <w:t xml:space="preserve">Синтаксические, стилистические</w:t>
            </w:r>
          </w:p>
        </w:tc>
        <w:tc>
          <w:tcPr>
            <w:tcW w:type="dxa" w:w="170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shd w:fill="FFFFFF" w:val="clear"/>
            <w:tcMar>
              <w:top w:type="dxa" w:w="80"/>
              <w:left w:type="dxa" w:w="150"/>
              <w:bottom w:type="dxa" w:w="80"/>
              <w:right w:type="dxa" w:w="150"/>
            </w:tcMar>
          </w:tcPr>
          <w:p>
            <w:r>
              <w:rPr>
                <w:sz w:val="22"/>
                <w:szCs w:val="22"/>
              </w:rPr>
              <w:t xml:space="preserve">Средняя</w:t>
            </w:r>
          </w:p>
        </w:tc>
      </w:tr>
      <w:tr>
        <w:tc>
          <w:tcPr>
            <w:tcW w:type="dxa" w:w="250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shd w:fill="E8F5EE" w:val="clear"/>
            <w:tcMar>
              <w:top w:type="dxa" w:w="80"/>
              <w:left w:type="dxa" w:w="150"/>
              <w:bottom w:type="dxa" w:w="80"/>
              <w:right w:type="dxa" w:w="150"/>
            </w:tcMar>
          </w:tcPr>
          <w:p>
            <w:r>
              <w:rPr>
                <w:sz w:val="22"/>
                <w:szCs w:val="22"/>
              </w:rPr>
              <w:t xml:space="preserve">Индивидуальная работа над ошибками</w:t>
            </w:r>
          </w:p>
        </w:tc>
        <w:tc>
          <w:tcPr>
            <w:tcW w:type="dxa" w:w="3026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shd w:fill="E8F5EE" w:val="clear"/>
            <w:tcMar>
              <w:top w:type="dxa" w:w="80"/>
              <w:left w:type="dxa" w:w="150"/>
              <w:bottom w:type="dxa" w:w="80"/>
              <w:right w:type="dxa" w:w="150"/>
            </w:tcMar>
          </w:tcPr>
          <w:p>
            <w:r>
              <w:rPr>
                <w:sz w:val="22"/>
                <w:szCs w:val="22"/>
              </w:rPr>
              <w:t xml:space="preserve">Ведение «Тетради ошибок», составление личных правил</w:t>
            </w:r>
          </w:p>
        </w:tc>
        <w:tc>
          <w:tcPr>
            <w:tcW w:type="dxa" w:w="180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shd w:fill="E8F5EE" w:val="clear"/>
            <w:tcMar>
              <w:top w:type="dxa" w:w="80"/>
              <w:left w:type="dxa" w:w="150"/>
              <w:bottom w:type="dxa" w:w="80"/>
              <w:right w:type="dxa" w:w="150"/>
            </w:tcMar>
          </w:tcPr>
          <w:p>
            <w:r>
              <w:rPr>
                <w:sz w:val="22"/>
                <w:szCs w:val="22"/>
              </w:rPr>
              <w:t xml:space="preserve">Все типы</w:t>
            </w:r>
          </w:p>
        </w:tc>
        <w:tc>
          <w:tcPr>
            <w:tcW w:type="dxa" w:w="170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shd w:fill="E8F5EE" w:val="clear"/>
            <w:tcMar>
              <w:top w:type="dxa" w:w="80"/>
              <w:left w:type="dxa" w:w="150"/>
              <w:bottom w:type="dxa" w:w="80"/>
              <w:right w:type="dxa" w:w="150"/>
            </w:tcMar>
          </w:tcPr>
          <w:p>
            <w:r>
              <w:rPr>
                <w:sz w:val="22"/>
                <w:szCs w:val="22"/>
              </w:rPr>
              <w:t xml:space="preserve">Очень высокая</w:t>
            </w:r>
          </w:p>
        </w:tc>
      </w:tr>
      <w:tr>
        <w:tc>
          <w:tcPr>
            <w:tcW w:type="dxa" w:w="250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shd w:fill="FFFFFF" w:val="clear"/>
            <w:tcMar>
              <w:top w:type="dxa" w:w="80"/>
              <w:left w:type="dxa" w:w="150"/>
              <w:bottom w:type="dxa" w:w="80"/>
              <w:right w:type="dxa" w:w="150"/>
            </w:tcMar>
          </w:tcPr>
          <w:p>
            <w:r>
              <w:rPr>
                <w:sz w:val="22"/>
                <w:szCs w:val="22"/>
              </w:rPr>
              <w:t xml:space="preserve">Метод аналогий и обобщений</w:t>
            </w:r>
          </w:p>
        </w:tc>
        <w:tc>
          <w:tcPr>
            <w:tcW w:type="dxa" w:w="3026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shd w:fill="FFFFFF" w:val="clear"/>
            <w:tcMar>
              <w:top w:type="dxa" w:w="80"/>
              <w:left w:type="dxa" w:w="150"/>
              <w:bottom w:type="dxa" w:w="80"/>
              <w:right w:type="dxa" w:w="150"/>
            </w:tcMar>
          </w:tcPr>
          <w:p>
            <w:r>
              <w:rPr>
                <w:sz w:val="22"/>
                <w:szCs w:val="22"/>
              </w:rPr>
              <w:t xml:space="preserve">Составление парадигм: правило — образец — упражнение</w:t>
            </w:r>
          </w:p>
        </w:tc>
        <w:tc>
          <w:tcPr>
            <w:tcW w:type="dxa" w:w="180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shd w:fill="FFFFFF" w:val="clear"/>
            <w:tcMar>
              <w:top w:type="dxa" w:w="80"/>
              <w:left w:type="dxa" w:w="150"/>
              <w:bottom w:type="dxa" w:w="80"/>
              <w:right w:type="dxa" w:w="150"/>
            </w:tcMar>
          </w:tcPr>
          <w:p>
            <w:r>
              <w:rPr>
                <w:sz w:val="22"/>
                <w:szCs w:val="22"/>
              </w:rPr>
              <w:t xml:space="preserve">Грамматические</w:t>
            </w:r>
          </w:p>
        </w:tc>
        <w:tc>
          <w:tcPr>
            <w:tcW w:type="dxa" w:w="170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shd w:fill="FFFFFF" w:val="clear"/>
            <w:tcMar>
              <w:top w:type="dxa" w:w="80"/>
              <w:left w:type="dxa" w:w="150"/>
              <w:bottom w:type="dxa" w:w="80"/>
              <w:right w:type="dxa" w:w="150"/>
            </w:tcMar>
          </w:tcPr>
          <w:p>
            <w:r>
              <w:rPr>
                <w:sz w:val="22"/>
                <w:szCs w:val="22"/>
              </w:rPr>
              <w:t xml:space="preserve">Высокая</w:t>
            </w:r>
          </w:p>
        </w:tc>
      </w:tr>
    </w:tbl>
    <w:p>
      <w:pPr>
        <w:spacing w:after="80"/>
      </w:pPr>
      <w:r>
        <w:t xml:space="preserve"/>
      </w:r>
    </w:p>
    <w:p>
      <w:pPr>
        <w:spacing w:after="120"/>
        <w:ind w:firstLine="720"/>
        <w:jc w:val="both"/>
      </w:pPr>
      <w:r>
        <w:rPr>
          <w:sz w:val="24"/>
          <w:szCs w:val="24"/>
        </w:rPr>
        <w:t xml:space="preserve">Образцовое чтение и выразительное чтение вслух как метод формирования орфоэпической нормы сохраняют своё значение на всех ступенях обучения. Систематическое прослушивание образцовой речи формирует правильный «речевой слух» — способность замечать отклонения от нормы в собственном и чужом произношении.</w:t>
      </w:r>
    </w:p>
    <w:p>
      <w:pPr>
        <w:spacing w:after="120"/>
        <w:ind w:firstLine="720"/>
        <w:jc w:val="both"/>
      </w:pPr>
      <w:r>
        <w:rPr>
          <w:sz w:val="24"/>
          <w:szCs w:val="24"/>
        </w:rPr>
        <w:t xml:space="preserve">Работа с деформированным текстом — один из наиболее результативных приёмов для формирования грамматической и лексической грамотности. Ученику предлагается текст с намеренно допущенными ошибками различных типов; его задача — найти ошибки, квалифицировать их и исправить с обоснованием. Данный приём ценен тем, что формирует позицию «редактора» — активного, критического читателя собственного и чужого текста.</w:t>
      </w:r>
    </w:p>
    <w:p>
      <w:pPr>
        <w:spacing w:after="120"/>
        <w:ind w:firstLine="720"/>
        <w:jc w:val="both"/>
      </w:pPr>
      <w:r>
        <w:rPr>
          <w:sz w:val="24"/>
          <w:szCs w:val="24"/>
        </w:rPr>
        <w:t xml:space="preserve">Метод лингвистического анализа текста предполагает работу как с образцовыми, так и с дефектными текстами по единому алгоритму: определение стиля и жанра, выявление использованных языковых средств, оценка их уместности и нормативности. Применительно к старшим классам этот метод органично вписывается в подготовку к ОГЭ и ЕГЭ.</w:t>
      </w:r>
    </w:p>
    <w:p>
      <w:pPr>
        <w:spacing w:after="120"/>
        <w:ind w:firstLine="720"/>
        <w:jc w:val="both"/>
      </w:pPr>
      <w:r>
        <w:rPr>
          <w:sz w:val="24"/>
          <w:szCs w:val="24"/>
        </w:rPr>
        <w:t xml:space="preserve">Ведение «Тетради ошибок» или «Речевого дневника» — приём, основанный на принципе рефлексии. Ученик фиксирует собственные типичные ошибки, формулирует «правило для себя» и отслеживает динамику их устранения. Практика показывает, что индивидуализированный характер этого инструмента обеспечивает его высокую эффективность: ученик работает именно со своими «болевыми точками», а не с абстрактным перечнем правил.</w:t>
      </w:r>
    </w:p>
    <w:p>
      <w:pPr>
        <w:pStyle w:val="Heading2"/>
      </w:pPr>
      <w:r>
        <w:rPr>
          <w:b/>
          <w:bCs/>
        </w:rPr>
        <w:t xml:space="preserve">4.3. Особенности работы с учётом возрастных этапов</w:t>
      </w:r>
    </w:p>
    <w:p>
      <w:pPr>
        <w:spacing w:after="120"/>
        <w:ind w:firstLine="720"/>
        <w:jc w:val="both"/>
      </w:pPr>
      <w:r>
        <w:rPr>
          <w:sz w:val="24"/>
          <w:szCs w:val="24"/>
        </w:rPr>
        <w:t xml:space="preserve">В начальной школе (1–4 классы) работа над ошибками строится преимущественно на наглядно-образной основе: используются схемы, таблицы, зрительные опоры, игровые задания. Приоритетны орфографические и орфоэпические нарушения. Оценочный компонент должен быть деликатным: жёсткая критика речи младшего школьника способна сформировать речевую тревожность — стойкий страх допустить ошибку, подавляющий речевую активность.</w:t>
      </w:r>
    </w:p>
    <w:p>
      <w:pPr>
        <w:spacing w:after="120"/>
        <w:ind w:firstLine="720"/>
        <w:jc w:val="both"/>
      </w:pPr>
      <w:r>
        <w:rPr>
          <w:sz w:val="24"/>
          <w:szCs w:val="24"/>
        </w:rPr>
        <w:t xml:space="preserve">В среднем звене (5–9 классы) расширяется арсенал анализируемых ошибок: подключаются стилистические и логические нарушения. Именно на этом этапе вводится систематическая работа с текстом как единицей речи — изложения, сочинения, устные монологические высказывания. Важно использовать задания с рефлексивным компонентом: «Почему эта конструкция ошибочна?», «Как можно сказать точнее?», «Какой вариант предпочтёт образованный носитель языка?»</w:t>
      </w:r>
    </w:p>
    <w:p>
      <w:pPr>
        <w:spacing w:after="120"/>
        <w:ind w:firstLine="720"/>
        <w:jc w:val="both"/>
      </w:pPr>
      <w:r>
        <w:rPr>
          <w:sz w:val="24"/>
          <w:szCs w:val="24"/>
        </w:rPr>
        <w:t xml:space="preserve">В старших классах (10–11 классы) акцент смещается в сторону стилистической грамотности и умения создавать тексты разных жанров и стилей. Работа над ошибками приобретает характер редактирования: ученик рассматривается как автор, несущий ответственность за свой текст. На этом этапе продуктивны задания на трансформацию текстов (перевод из одного стиля в другой), написание рецензий, участие в дискуссиях с последующим анализом собственной речи.</w:t>
      </w:r>
    </w:p>
    <w:p>
      <w:pPr>
        <w:pStyle w:val="Heading2"/>
      </w:pPr>
      <w:r>
        <w:rPr>
          <w:b/>
          <w:bCs/>
        </w:rPr>
        <w:t xml:space="preserve">4.4. Диагностика речевых ошибок</w:t>
      </w:r>
    </w:p>
    <w:p>
      <w:pPr>
        <w:spacing w:after="120"/>
        <w:ind w:firstLine="720"/>
        <w:jc w:val="both"/>
      </w:pPr>
      <w:r>
        <w:rPr>
          <w:sz w:val="24"/>
          <w:szCs w:val="24"/>
        </w:rPr>
        <w:t xml:space="preserve">Систематическая диагностика является необходимым условием эффективной коррекционной работы. Учителю рекомендуется вести «карту ошибок класса» — регулярно обновляемую сводную таблицу, отражающую частотность и типологию нарушений у конкретных учеников и класса в целом. Это позволяет перейти от реактивной к проактивной стратегии: выстраивать уроки развития речи с опорой на реальные проблемы конкретной учебной группы, а не на умозрительные представления об «эталонных» ошибках.</w:t>
      </w:r>
    </w:p>
    <w:p>
      <w:pPr>
        <w:spacing w:after="120"/>
        <w:ind w:firstLine="720"/>
        <w:jc w:val="both"/>
      </w:pPr>
      <w:r>
        <w:rPr>
          <w:sz w:val="24"/>
          <w:szCs w:val="24"/>
        </w:rPr>
        <w:t xml:space="preserve">Диагностический инструментарий может включать: анализ письменных работ (сочинений, изложений, ответов на вопросы), наблюдение за устными высказываниями на уроке, специальные диагностические диктанты, устные опросы с фиксацией произносительных ошибок.</w:t>
      </w:r>
    </w:p>
    <w:p>
      <w:pPr>
        <w:pStyle w:val="Heading2"/>
      </w:pPr>
      <w:r>
        <w:rPr>
          <w:b/>
          <w:bCs/>
        </w:rPr>
        <w:t xml:space="preserve">4.5. Роль учителя и педагогической позиции</w:t>
      </w:r>
    </w:p>
    <w:p>
      <w:pPr>
        <w:spacing w:after="120"/>
        <w:ind w:firstLine="720"/>
        <w:jc w:val="both"/>
      </w:pPr>
      <w:r>
        <w:rPr>
          <w:sz w:val="24"/>
          <w:szCs w:val="24"/>
        </w:rPr>
        <w:t xml:space="preserve">Принципиально важным является вопрос о стратегии исправления ошибок. Мгновенное перебивание ученика во время устного ответа с целью немедленного исправления разрушает коммуникативную ситуацию и формирует тревожность. Методисты рекомендуют разграничивать ситуации: если ошибка допущена в ответе по теме урока — её исправление уместно и методически необходимо; если ученик отвечает эмоционально, участвует в дискуссии или читает собственное сочинение — ошибку целесообразно зафиксировать и разобрать после, сохранив целостность коммуникативного акта.</w:t>
      </w:r>
    </w:p>
    <w:p>
      <w:pPr>
        <w:spacing w:after="120"/>
        <w:ind w:firstLine="720"/>
        <w:jc w:val="both"/>
      </w:pPr>
      <w:r>
        <w:rPr>
          <w:sz w:val="24"/>
          <w:szCs w:val="24"/>
        </w:rPr>
        <w:t xml:space="preserve">Немаловажно и речевое поведение самого учителя. Педагог является моделью нормативной речи для учеников: его произношение, лексика, синтаксические конструкции, интонация постоянно находятся в поле восприятия учащихся. Собственная речевая культура учителя — не второстепенный, а базовый методический инструмент.</w:t>
      </w:r>
    </w:p>
    <w:p>
      <w:pPr>
        <w:spacing w:after="80"/>
      </w:pPr>
      <w:r>
        <w:t xml:space="preserve"/>
      </w:r>
    </w:p>
    <w:p>
      <w:pPr>
        <w:pStyle w:val="Heading1"/>
      </w:pPr>
      <w:r>
        <w:rPr>
          <w:b/>
          <w:bCs/>
        </w:rPr>
        <w:t xml:space="preserve">5. ЗАКЛЮЧЕНИЕ</w:t>
      </w:r>
    </w:p>
    <w:p>
      <w:pPr>
        <w:spacing w:after="120"/>
        <w:ind w:firstLine="720"/>
        <w:jc w:val="both"/>
      </w:pPr>
      <w:r>
        <w:rPr>
          <w:sz w:val="24"/>
          <w:szCs w:val="24"/>
        </w:rPr>
        <w:t xml:space="preserve">Проведённый анализ позволяет сформулировать следующие выводы. Во-первых, речевые ошибки школьников представляют собой закономерное и педагогически управляемое явление, поддающееся систематизации и коррекции при условии применения научно обоснованных методических подходов. Во-вторых, эффективная работа над ошибками невозможна без их чёткой типологии и диагностики — учитель должен ясно понимать, с каким типом нарушения он работает, каковы его причины и каковы оптимальные пути устранения. В-третьих, ключевым принципом педагогической работы является опережение: лучший способ борьбы с ошибкой — её предупреждение через создание насыщенной нормативной речевой среды.</w:t>
      </w:r>
    </w:p>
    <w:p>
      <w:pPr>
        <w:spacing w:after="120"/>
        <w:ind w:firstLine="720"/>
        <w:jc w:val="both"/>
      </w:pPr>
      <w:r>
        <w:rPr>
          <w:sz w:val="24"/>
          <w:szCs w:val="24"/>
        </w:rPr>
        <w:t xml:space="preserve">В-четвёртых, результативность коррекционной работы напрямую зависит от рефлексивной позиции ученика: именно осознанное отношение к собственной речи, а не механическое исправление красной пастой, формирует устойчивую речевую компетенцию. В-пятых, современный педагог должен учитывать новый фактор — влияние цифровой коммуникации на речевые нормы учащихся — и встраивать работу с этим явлением в систему уроков развития речи.</w:t>
      </w:r>
    </w:p>
    <w:p>
      <w:pPr>
        <w:spacing w:after="120"/>
        <w:ind w:firstLine="720"/>
        <w:jc w:val="both"/>
      </w:pPr>
      <w:r>
        <w:rPr>
          <w:sz w:val="24"/>
          <w:szCs w:val="24"/>
        </w:rPr>
        <w:t xml:space="preserve">Перспективы дальнейшего исследования связаны с разработкой конкретных диагностических и коррекционных материалов, ориентированных на каждую возрастную ступень, а также с изучением возможностей цифровых образовательных инструментов в работе с речевыми ошибками школьников.</w:t>
      </w:r>
    </w:p>
    <w:p>
      <w:pPr>
        <w:pBdr>
          <w:bottom w:val="single" w:color="CCCCCC" w:sz="4" w:space="4"/>
        </w:pBdr>
        <w:spacing w:after="200"/>
      </w:pPr>
      <w:r>
        <w:t xml:space="preserve"/>
      </w:r>
    </w:p>
    <w:p>
      <w:pPr>
        <w:pStyle w:val="Heading1"/>
      </w:pPr>
      <w:r>
        <w:rPr>
          <w:b/>
          <w:bCs/>
        </w:rPr>
        <w:t xml:space="preserve">СПИСОК ЛИТЕРАТУРЫ</w:t>
      </w:r>
    </w:p>
    <w:p>
      <w:pPr>
        <w:spacing w:after="40" w:before="80"/>
        <w:jc w:val="both"/>
      </w:pPr>
      <w:r>
        <w:rPr>
          <w:rFonts w:ascii="Arial" w:cs="Arial" w:eastAsia="Arial" w:hAnsi="Arial"/>
          <w:b/>
          <w:bCs/>
          <w:sz w:val="24"/>
          <w:szCs w:val="24"/>
        </w:rPr>
        <w:t xml:space="preserve">Классические труды:</w:t>
      </w:r>
    </w:p>
    <w:p>
      <w:pPr>
        <w:spacing w:after="80"/>
        <w:ind w:left="360" w:hanging="360"/>
        <w:jc w:val="both"/>
      </w:pPr>
      <w:r>
        <w:rPr>
          <w:rFonts w:ascii="Times New Roman" w:cs="Times New Roman" w:eastAsia="Times New Roman" w:hAnsi="Times New Roman"/>
          <w:sz w:val="22"/>
          <w:szCs w:val="22"/>
        </w:rPr>
        <w:t xml:space="preserve">1. Выготский Л.С. Мышление и речь. — М.: Лабиринт, (переизд.).</w:t>
      </w:r>
    </w:p>
    <w:p>
      <w:pPr>
        <w:spacing w:after="80"/>
        <w:ind w:left="360" w:hanging="360"/>
        <w:jc w:val="both"/>
      </w:pPr>
      <w:r>
        <w:rPr>
          <w:rFonts w:ascii="Times New Roman" w:cs="Times New Roman" w:eastAsia="Times New Roman" w:hAnsi="Times New Roman"/>
          <w:sz w:val="22"/>
          <w:szCs w:val="22"/>
        </w:rPr>
        <w:t xml:space="preserve">2. Выготский Л.С. Педагогическая психология.</w:t>
      </w:r>
    </w:p>
    <w:p>
      <w:pPr>
        <w:spacing w:after="80"/>
        <w:ind w:left="360" w:hanging="360"/>
        <w:jc w:val="both"/>
      </w:pPr>
      <w:r>
        <w:rPr>
          <w:rFonts w:ascii="Times New Roman" w:cs="Times New Roman" w:eastAsia="Times New Roman" w:hAnsi="Times New Roman"/>
          <w:sz w:val="22"/>
          <w:szCs w:val="22"/>
        </w:rPr>
        <w:t xml:space="preserve">3. Леонтьев А.А. Язык, речь, речевая деятельность. — М.: Просвещение.</w:t>
      </w:r>
    </w:p>
    <w:p>
      <w:pPr>
        <w:spacing w:after="80"/>
        <w:ind w:left="360" w:hanging="360"/>
        <w:jc w:val="both"/>
      </w:pPr>
      <w:r>
        <w:rPr>
          <w:rFonts w:ascii="Times New Roman" w:cs="Times New Roman" w:eastAsia="Times New Roman" w:hAnsi="Times New Roman"/>
          <w:sz w:val="22"/>
          <w:szCs w:val="22"/>
        </w:rPr>
        <w:t xml:space="preserve">4. Рубинштейн С.Л. Основы общей психологии.</w:t>
      </w:r>
    </w:p>
    <w:p>
      <w:pPr>
        <w:spacing w:after="80"/>
        <w:ind w:left="360" w:hanging="360"/>
        <w:jc w:val="both"/>
      </w:pPr>
      <w:r>
        <w:rPr>
          <w:rFonts w:ascii="Times New Roman" w:cs="Times New Roman" w:eastAsia="Times New Roman" w:hAnsi="Times New Roman"/>
          <w:sz w:val="22"/>
          <w:szCs w:val="22"/>
        </w:rPr>
        <w:t xml:space="preserve">5. Эльконин Д.Б. Психология обучения младшего школьника.</w:t>
      </w:r>
    </w:p>
    <w:p>
      <w:pPr>
        <w:spacing w:after="80"/>
        <w:ind w:left="360" w:hanging="360"/>
        <w:jc w:val="both"/>
      </w:pPr>
      <w:r>
        <w:rPr>
          <w:rFonts w:ascii="Times New Roman" w:cs="Times New Roman" w:eastAsia="Times New Roman" w:hAnsi="Times New Roman"/>
          <w:sz w:val="22"/>
          <w:szCs w:val="22"/>
        </w:rPr>
        <w:t xml:space="preserve">6. Лурия А.Р. Язык и сознание.</w:t>
      </w:r>
    </w:p>
    <w:p>
      <w:pPr>
        <w:spacing w:after="80"/>
        <w:ind w:left="360" w:hanging="360"/>
        <w:jc w:val="both"/>
      </w:pPr>
      <w:r>
        <w:rPr>
          <w:rFonts w:ascii="Times New Roman" w:cs="Times New Roman" w:eastAsia="Times New Roman" w:hAnsi="Times New Roman"/>
          <w:sz w:val="22"/>
          <w:szCs w:val="22"/>
        </w:rPr>
        <w:t xml:space="preserve">7. Ладыженская Т.А. Система работы по развитию связной устной речи учащихся.</w:t>
      </w:r>
    </w:p>
    <w:p>
      <w:pPr>
        <w:spacing w:after="80"/>
        <w:ind w:left="360" w:hanging="360"/>
        <w:jc w:val="both"/>
      </w:pPr>
      <w:r>
        <w:rPr>
          <w:rFonts w:ascii="Times New Roman" w:cs="Times New Roman" w:eastAsia="Times New Roman" w:hAnsi="Times New Roman"/>
          <w:sz w:val="22"/>
          <w:szCs w:val="22"/>
        </w:rPr>
        <w:t xml:space="preserve">8. Рождественский Н.С. Свойства русского правописания как основа методики его преподавания.</w:t>
      </w:r>
    </w:p>
    <w:p>
      <w:pPr>
        <w:spacing w:after="40" w:before="160"/>
        <w:jc w:val="both"/>
      </w:pPr>
      <w:r>
        <w:rPr>
          <w:rFonts w:ascii="Arial" w:cs="Arial" w:eastAsia="Arial" w:hAnsi="Arial"/>
          <w:b/>
          <w:bCs/>
          <w:sz w:val="24"/>
          <w:szCs w:val="24"/>
        </w:rPr>
        <w:t xml:space="preserve">Актуальные издания (2018–2024):</w:t>
      </w:r>
    </w:p>
    <w:p>
      <w:pPr>
        <w:spacing w:after="80"/>
        <w:ind w:left="360" w:hanging="360"/>
        <w:jc w:val="both"/>
      </w:pPr>
      <w:r>
        <w:rPr>
          <w:rFonts w:ascii="Times New Roman" w:cs="Times New Roman" w:eastAsia="Times New Roman" w:hAnsi="Times New Roman"/>
          <w:sz w:val="22"/>
          <w:szCs w:val="22"/>
        </w:rPr>
        <w:t xml:space="preserve">9. Асмолов А.Г. Психология личности: культурно-историческое понимание развития человека.</w:t>
      </w:r>
    </w:p>
    <w:p>
      <w:pPr>
        <w:spacing w:after="80"/>
        <w:ind w:left="360" w:hanging="360"/>
        <w:jc w:val="both"/>
      </w:pPr>
      <w:r>
        <w:rPr>
          <w:rFonts w:ascii="Times New Roman" w:cs="Times New Roman" w:eastAsia="Times New Roman" w:hAnsi="Times New Roman"/>
          <w:sz w:val="22"/>
          <w:szCs w:val="22"/>
        </w:rPr>
        <w:t xml:space="preserve">10. Педагогика и психология образования: журнал. — 2020–2024.</w:t>
      </w:r>
    </w:p>
    <w:p>
      <w:pPr>
        <w:spacing w:after="80"/>
        <w:ind w:left="360" w:hanging="360"/>
        <w:jc w:val="both"/>
      </w:pPr>
      <w:r>
        <w:rPr>
          <w:rFonts w:ascii="Times New Roman" w:cs="Times New Roman" w:eastAsia="Times New Roman" w:hAnsi="Times New Roman"/>
          <w:sz w:val="22"/>
          <w:szCs w:val="22"/>
        </w:rPr>
        <w:t xml:space="preserve">11. Актуальные проблемы методики обучения русскому языку в современной школе: сборник научных трудов. — 2022.</w:t>
      </w:r>
    </w:p>
    <w:p>
      <w:pPr>
        <w:spacing w:after="80"/>
        <w:ind w:left="360" w:hanging="360"/>
        <w:jc w:val="both"/>
      </w:pPr>
      <w:r>
        <w:rPr>
          <w:rFonts w:ascii="Times New Roman" w:cs="Times New Roman" w:eastAsia="Times New Roman" w:hAnsi="Times New Roman"/>
          <w:sz w:val="22"/>
          <w:szCs w:val="22"/>
        </w:rPr>
        <w:t xml:space="preserve">12. Русский язык в школе: научно-методический журнал. — 2019–2024.</w:t>
      </w:r>
    </w:p>
    <w:sectPr>
      <w:headerReference w:type="default" r:id="rId7"/>
      <w:footerReference w:type="default" r:id="rId8"/>
      <w:pgSz w:w="11906" w:h="16838" w:orient="portrait"/>
      <w:pgMar w:top="1440" w:right="1134" w:bottom="1440" w:left="1701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AAAAAA" w:sz="4" w:space="1"/>
      </w:pBdr>
      <w:jc w:val="center"/>
    </w:pPr>
    <w:r>
      <w:rPr>
        <w:rFonts w:ascii="Arial" w:cs="Arial" w:eastAsia="Arial" w:hAnsi="Arial"/>
        <w:color w:val="777777"/>
        <w:sz w:val="18"/>
        <w:szCs w:val="18"/>
      </w:rPr>
      <w:fldChar w:fldCharType="begin"/>
      <w:instrText xml:space="preserve">PAGE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pBdr>
        <w:bottom w:val="single" w:color="2E4B8F" w:sz="6" w:space="1"/>
      </w:pBdr>
      <w:spacing w:after="120"/>
      <w:jc w:val="center"/>
    </w:pPr>
    <w:r>
      <w:rPr>
        <w:rFonts w:ascii="Arial" w:cs="Arial" w:eastAsia="Arial" w:hAnsi="Arial"/>
        <w:color w:val="555555"/>
        <w:sz w:val="18"/>
        <w:szCs w:val="18"/>
      </w:rPr>
      <w:t xml:space="preserve">Анализ ошибок в речи школьников и пути их исправления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–"/>
      <w:lvlJc w:val="left"/>
      <w:pPr>
        <w:ind w:left="72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cs="Times New Roman" w:eastAsia="Times New Roman" w:hAnsi="Times New Roman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80" w:before="300"/>
      <w:outlineLvl w:val="0"/>
    </w:pPr>
    <w:rPr>
      <w:rFonts w:ascii="Arial" w:cs="Arial" w:eastAsia="Arial" w:hAnsi="Arial"/>
      <w:b/>
      <w:bCs/>
      <w:color w:val="2E4B8F"/>
      <w:sz w:val="28"/>
      <w:szCs w:val="28"/>
    </w:rPr>
  </w:style>
  <w:style w:type="paragraph" w:styleId="Heading2">
    <w:name w:val="Heading 2"/>
    <w:basedOn w:val="Normal"/>
    <w:next w:val="Normal"/>
    <w:qFormat/>
    <w:pPr>
      <w:spacing w:after="120" w:before="240"/>
      <w:outlineLvl w:val="1"/>
    </w:pPr>
    <w:rPr>
      <w:rFonts w:ascii="Arial" w:cs="Arial" w:eastAsia="Arial" w:hAnsi="Arial"/>
      <w:b/>
      <w:bCs/>
      <w:color w:val="1B6B3A"/>
      <w:sz w:val="24"/>
      <w:szCs w:val="24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2026-04-03T16:58:19.998Z</dcterms:created>
  <dcterms:modified xsi:type="dcterms:W3CDTF">2026-04-03T16:58:19.999Z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