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EFB0D" w14:textId="77777777" w:rsidR="003A22BB" w:rsidRPr="003A22BB" w:rsidRDefault="003A22BB" w:rsidP="00D874C1">
      <w:pPr>
        <w:jc w:val="center"/>
        <w:rPr>
          <w:rFonts w:ascii="Times New Roman" w:hAnsi="Times New Roman" w:cs="Times New Roman"/>
          <w:sz w:val="32"/>
          <w:szCs w:val="32"/>
        </w:rPr>
      </w:pPr>
      <w:r w:rsidRPr="003A22BB">
        <w:rPr>
          <w:rFonts w:ascii="Times New Roman" w:hAnsi="Times New Roman" w:cs="Times New Roman"/>
          <w:sz w:val="32"/>
          <w:szCs w:val="32"/>
        </w:rPr>
        <w:t>Сравнение творческого и критического мышления среди учеников 7–8 классов физико‑математического профиля и обще-</w:t>
      </w:r>
      <w:proofErr w:type="gramStart"/>
      <w:r w:rsidRPr="003A22BB">
        <w:rPr>
          <w:rFonts w:ascii="Times New Roman" w:hAnsi="Times New Roman" w:cs="Times New Roman"/>
          <w:sz w:val="32"/>
          <w:szCs w:val="32"/>
        </w:rPr>
        <w:t>профильного  образования</w:t>
      </w:r>
      <w:proofErr w:type="gramEnd"/>
    </w:p>
    <w:p w14:paraId="52721B55" w14:textId="77777777" w:rsidR="003A22BB" w:rsidRPr="003A22BB" w:rsidRDefault="003A22BB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3A22BB">
        <w:rPr>
          <w:rFonts w:ascii="Times New Roman" w:hAnsi="Times New Roman" w:cs="Times New Roman"/>
          <w:sz w:val="32"/>
          <w:szCs w:val="32"/>
        </w:rPr>
        <w:t>Аннотация:</w:t>
      </w:r>
    </w:p>
    <w:p w14:paraId="7E8F5E39" w14:textId="77777777" w:rsidR="003A22BB" w:rsidRPr="003A22BB" w:rsidRDefault="003A22BB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3A22BB">
        <w:rPr>
          <w:rFonts w:ascii="Times New Roman" w:hAnsi="Times New Roman" w:cs="Times New Roman"/>
          <w:sz w:val="32"/>
          <w:szCs w:val="32"/>
        </w:rPr>
        <w:t>Статья посвящена исследованию особенностей творческого и критического мышления учащихся 7-8 классов, обучающихся в школе с физико-математическим профилем и общеобразовательных классов с обще -профильной программой.</w:t>
      </w:r>
    </w:p>
    <w:p w14:paraId="5D1EA272" w14:textId="77777777" w:rsidR="003A22BB" w:rsidRPr="003A22BB" w:rsidRDefault="003A22BB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3A22BB">
        <w:rPr>
          <w:rFonts w:ascii="Times New Roman" w:hAnsi="Times New Roman" w:cs="Times New Roman"/>
          <w:sz w:val="32"/>
          <w:szCs w:val="32"/>
        </w:rPr>
        <w:t xml:space="preserve"> Цель исследования заключается в выявлении различий и сходств уровней развития указанных видов мышления у школьников двух групп, изучение влияния образовательного направления на формирование интеллектуальных способностей.</w:t>
      </w:r>
    </w:p>
    <w:p w14:paraId="7B4AE56C" w14:textId="77777777" w:rsidR="003A22BB" w:rsidRPr="003A22BB" w:rsidRDefault="003A22BB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3A22BB">
        <w:rPr>
          <w:rFonts w:ascii="Times New Roman" w:hAnsi="Times New Roman" w:cs="Times New Roman"/>
          <w:sz w:val="32"/>
          <w:szCs w:val="32"/>
        </w:rPr>
        <w:t xml:space="preserve">  Методы исследования включают анкетирование, тестирование когнитивных функций, проведение творческих заданий и обсуждение гипотез в группах. Анализируются показатели креативности, оригинальности решений, способности к аргументации и оценке собственной деятельности.</w:t>
      </w:r>
    </w:p>
    <w:p w14:paraId="035063AA" w14:textId="77777777" w:rsidR="003A22BB" w:rsidRPr="003A22BB" w:rsidRDefault="003A22BB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3A22BB">
        <w:rPr>
          <w:rFonts w:ascii="Times New Roman" w:hAnsi="Times New Roman" w:cs="Times New Roman"/>
          <w:sz w:val="32"/>
          <w:szCs w:val="32"/>
        </w:rPr>
        <w:t xml:space="preserve">Полученные результаты показывают статистически значимую разницу в развитии творческого и критического мышления между учащимися физико-математической программой и учениками общеобразовательных классов. </w:t>
      </w:r>
    </w:p>
    <w:p w14:paraId="3E0C14F3" w14:textId="77777777" w:rsidR="003A22BB" w:rsidRPr="003A22BB" w:rsidRDefault="003A22BB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3A22BB">
        <w:rPr>
          <w:rFonts w:ascii="Times New Roman" w:hAnsi="Times New Roman" w:cs="Times New Roman"/>
          <w:sz w:val="32"/>
          <w:szCs w:val="32"/>
        </w:rPr>
        <w:t xml:space="preserve">   Работа представляет интерес для педагогов, психологов и организаторов учебного процесса, занимающихся разработкой учебных программ и методов воспитания интеллектуально развитых и творческих детей. Исследование также помогает выявить перспективы дальнейшего изучения взаимосвязи образовательной среды и формирования интеллектуальной культуры подростков.</w:t>
      </w:r>
    </w:p>
    <w:p w14:paraId="58C5014A" w14:textId="77777777" w:rsidR="003A22BB" w:rsidRPr="003A22BB" w:rsidRDefault="003A22BB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7D1D21FF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Введение</w:t>
      </w:r>
    </w:p>
    <w:p w14:paraId="61AE3C74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Современное образование акцентирует внимание на развитии мыслительных навыков, необходимых для успешной адаптации в быстро меняющемся мире. Творческое и критическое мышление — ключевые компетенции XXI века.</w:t>
      </w:r>
    </w:p>
    <w:p w14:paraId="7452220D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0DF14CDA" w14:textId="07319550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Актуальность исследования обусловлена необходимостью понимания, как профильное обучение влияет на формирование этих навыков у подростков. Ученики физико‑математических классов сталкиваются с задачами, требующими строгой логики, в то время как общеобразовательные классы предлагают более широкий спектр дисциплин, потенциально стимулирующих креативность.</w:t>
      </w:r>
    </w:p>
    <w:p w14:paraId="7D1E120C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05A741CF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Цель: сравнить уровни творческого и критического мышления у учащихся 7–8 классов разных профилей.</w:t>
      </w:r>
    </w:p>
    <w:p w14:paraId="7C9467F4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6464FFF6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Гипотеза: ученики физико‑математического профиля демонстрируют более высокий уровень критического мышления, а ученики общеобразовательных классов — более высокий уровень творческого мышления.</w:t>
      </w:r>
    </w:p>
    <w:p w14:paraId="11BC782E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065B4133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Задачи:</w:t>
      </w:r>
    </w:p>
    <w:p w14:paraId="75E0F5C0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5240B7BE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Подобрать диагностические методики для оценки творческого и критического мышления.</w:t>
      </w:r>
    </w:p>
    <w:p w14:paraId="7FC8EEA5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Провести тестирование среди учащихся 7–8 классов (60 человек).</w:t>
      </w:r>
    </w:p>
    <w:p w14:paraId="4E382012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Сравнить результаты двух групп.</w:t>
      </w:r>
    </w:p>
    <w:p w14:paraId="7762C09B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Проанализировать полученные данные и сформулировать выводы.</w:t>
      </w:r>
    </w:p>
    <w:p w14:paraId="3C706270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Объект исследования: познавательные процессы подростков 13–14 лет.</w:t>
      </w:r>
    </w:p>
    <w:p w14:paraId="3E7D37F5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Предмет исследования: уровни развития творческого и критического мышления.</w:t>
      </w:r>
    </w:p>
    <w:p w14:paraId="60CA828A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Методы исследования</w:t>
      </w:r>
    </w:p>
    <w:p w14:paraId="53FEC5DE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Выборка: 60 учащихся 7–8 классов:</w:t>
      </w:r>
    </w:p>
    <w:p w14:paraId="5A2430B1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lastRenderedPageBreak/>
        <w:t>Группа 1 (физико‑математический профиль): 30 человек.</w:t>
      </w:r>
    </w:p>
    <w:p w14:paraId="1FAA790B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Группа 2 (общеобразовательный профиль): 30 человек.</w:t>
      </w:r>
    </w:p>
    <w:p w14:paraId="69F2658C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32EA1CD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Методики:</w:t>
      </w:r>
    </w:p>
    <w:p w14:paraId="06C2CA6B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Для оценки творческого мышления — тест дивергентного мышления Ф. Вильямса в адаптации Е. Е. Туник. Оцениваются:</w:t>
      </w:r>
    </w:p>
    <w:p w14:paraId="0E95F636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беглость (количество идей);</w:t>
      </w:r>
    </w:p>
    <w:p w14:paraId="3D69C064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гибкость (разнообразие категорий идей);</w:t>
      </w:r>
    </w:p>
    <w:p w14:paraId="1E042098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оригинальность (нестандартность решений);</w:t>
      </w:r>
    </w:p>
    <w:p w14:paraId="37ECF15F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разработанность (детализация идей).</w:t>
      </w:r>
    </w:p>
    <w:p w14:paraId="1E4B4F75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Для оценки критического мышления — адаптированная версия теста Л. Старки (в модификации для подростков). Оцениваются:</w:t>
      </w:r>
    </w:p>
    <w:p w14:paraId="47804C8B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анализ аргументов;</w:t>
      </w:r>
    </w:p>
    <w:p w14:paraId="04D0E4A0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выявление логических ошибок;</w:t>
      </w:r>
    </w:p>
    <w:p w14:paraId="07A3A9CA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оценка достоверности информации;</w:t>
      </w:r>
    </w:p>
    <w:p w14:paraId="46F53A8A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формулирование обоснованных выводов.</w:t>
      </w:r>
    </w:p>
    <w:p w14:paraId="78D2369C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Процедура: тестирование проводилось в групповой форме, длительность — 40–50 минут на каждую методику.</w:t>
      </w:r>
    </w:p>
    <w:p w14:paraId="3406065A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Результаты исследования</w:t>
      </w:r>
    </w:p>
    <w:p w14:paraId="662E6F54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Средние показатели по группам (баллы):</w:t>
      </w:r>
    </w:p>
    <w:p w14:paraId="1E71D20B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907B47C" w14:textId="6C0652AF" w:rsidR="00F04014" w:rsidRPr="00D874C1" w:rsidRDefault="00D874C1" w:rsidP="00D874C1">
      <w:pPr>
        <w:jc w:val="center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5"/>
        <w:gridCol w:w="3556"/>
        <w:gridCol w:w="3334"/>
      </w:tblGrid>
      <w:tr w:rsidR="00F04014" w14:paraId="181051B4" w14:textId="77777777" w:rsidTr="00F04014">
        <w:tc>
          <w:tcPr>
            <w:tcW w:w="3115" w:type="dxa"/>
          </w:tcPr>
          <w:p w14:paraId="7134A9E2" w14:textId="0DA978FE" w:rsidR="00F04014" w:rsidRDefault="00F04014" w:rsidP="00D874C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74C1">
              <w:rPr>
                <w:rFonts w:ascii="Times New Roman" w:hAnsi="Times New Roman" w:cs="Times New Roman"/>
                <w:sz w:val="32"/>
                <w:szCs w:val="32"/>
              </w:rPr>
              <w:t>Параметр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0C663BF7" w14:textId="46308CB7" w:rsidR="00F04014" w:rsidRDefault="00F04014" w:rsidP="00D874C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74C1">
              <w:rPr>
                <w:rFonts w:ascii="Times New Roman" w:hAnsi="Times New Roman" w:cs="Times New Roman"/>
                <w:sz w:val="32"/>
                <w:szCs w:val="32"/>
              </w:rPr>
              <w:t>Физико‑математический профиль</w:t>
            </w:r>
          </w:p>
        </w:tc>
        <w:tc>
          <w:tcPr>
            <w:tcW w:w="3115" w:type="dxa"/>
          </w:tcPr>
          <w:p w14:paraId="491725C2" w14:textId="499EF16B" w:rsidR="00F04014" w:rsidRDefault="00F04014" w:rsidP="00D874C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74C1">
              <w:rPr>
                <w:rFonts w:ascii="Times New Roman" w:hAnsi="Times New Roman" w:cs="Times New Roman"/>
                <w:sz w:val="32"/>
                <w:szCs w:val="32"/>
              </w:rPr>
              <w:t>Общеобразовательный профиль</w:t>
            </w:r>
          </w:p>
        </w:tc>
      </w:tr>
      <w:tr w:rsidR="00F04014" w14:paraId="1F2C2F50" w14:textId="77777777" w:rsidTr="00F04014">
        <w:tc>
          <w:tcPr>
            <w:tcW w:w="3115" w:type="dxa"/>
            <w:tcBorders>
              <w:right w:val="nil"/>
            </w:tcBorders>
          </w:tcPr>
          <w:p w14:paraId="3CAA9EC7" w14:textId="77777777" w:rsidR="00F04014" w:rsidRPr="00D874C1" w:rsidRDefault="00F04014" w:rsidP="00D874C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789A08C3" w14:textId="49D8CCB1" w:rsidR="00F04014" w:rsidRPr="00D874C1" w:rsidRDefault="00F04014" w:rsidP="00D874C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874C1">
              <w:rPr>
                <w:rFonts w:ascii="Times New Roman" w:hAnsi="Times New Roman" w:cs="Times New Roman"/>
                <w:sz w:val="32"/>
                <w:szCs w:val="32"/>
              </w:rPr>
              <w:t>Творческое мышление</w:t>
            </w:r>
            <w:r w:rsidRPr="00D874C1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3115" w:type="dxa"/>
            <w:tcBorders>
              <w:left w:val="nil"/>
            </w:tcBorders>
          </w:tcPr>
          <w:p w14:paraId="484F2430" w14:textId="77777777" w:rsidR="00F04014" w:rsidRPr="00D874C1" w:rsidRDefault="00F04014" w:rsidP="00D874C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04014" w14:paraId="6610969D" w14:textId="77777777" w:rsidTr="00F04014">
        <w:tc>
          <w:tcPr>
            <w:tcW w:w="3115" w:type="dxa"/>
          </w:tcPr>
          <w:p w14:paraId="68BBB7E7" w14:textId="1041B60E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Беглость</w:t>
            </w: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5" w:type="dxa"/>
          </w:tcPr>
          <w:p w14:paraId="048B12AE" w14:textId="34CC0A50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18,2±2,1</w:t>
            </w:r>
          </w:p>
        </w:tc>
        <w:tc>
          <w:tcPr>
            <w:tcW w:w="3115" w:type="dxa"/>
          </w:tcPr>
          <w:p w14:paraId="6658570E" w14:textId="4F5721DD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22,5±1,8</w:t>
            </w:r>
          </w:p>
        </w:tc>
      </w:tr>
      <w:tr w:rsidR="00F04014" w14:paraId="4433B61D" w14:textId="77777777" w:rsidTr="00F04014">
        <w:tc>
          <w:tcPr>
            <w:tcW w:w="3115" w:type="dxa"/>
          </w:tcPr>
          <w:p w14:paraId="55606609" w14:textId="77777777" w:rsidR="00F04014" w:rsidRPr="00F04014" w:rsidRDefault="00F04014" w:rsidP="00F040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3A1F962" w14:textId="6E374228" w:rsidR="00F04014" w:rsidRPr="00F04014" w:rsidRDefault="00F04014" w:rsidP="00F040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Гибкость</w:t>
            </w:r>
          </w:p>
        </w:tc>
        <w:tc>
          <w:tcPr>
            <w:tcW w:w="3115" w:type="dxa"/>
          </w:tcPr>
          <w:p w14:paraId="07E90184" w14:textId="1E3846B4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16,7±1,9</w:t>
            </w:r>
          </w:p>
        </w:tc>
        <w:tc>
          <w:tcPr>
            <w:tcW w:w="3115" w:type="dxa"/>
          </w:tcPr>
          <w:p w14:paraId="10EBE16C" w14:textId="6EBD7692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20,3±2,0</w:t>
            </w:r>
          </w:p>
        </w:tc>
      </w:tr>
      <w:tr w:rsidR="00F04014" w14:paraId="5D5E8155" w14:textId="77777777" w:rsidTr="00F04014">
        <w:tc>
          <w:tcPr>
            <w:tcW w:w="3115" w:type="dxa"/>
          </w:tcPr>
          <w:p w14:paraId="26548562" w14:textId="5CE14748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Оригинальность</w:t>
            </w:r>
          </w:p>
        </w:tc>
        <w:tc>
          <w:tcPr>
            <w:tcW w:w="3115" w:type="dxa"/>
          </w:tcPr>
          <w:p w14:paraId="138DC145" w14:textId="51647642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14,8±2,3</w:t>
            </w:r>
          </w:p>
        </w:tc>
        <w:tc>
          <w:tcPr>
            <w:tcW w:w="3115" w:type="dxa"/>
          </w:tcPr>
          <w:p w14:paraId="403C1E2D" w14:textId="0CEAB809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ab/>
              <w:t>19,6±2,5</w:t>
            </w:r>
          </w:p>
        </w:tc>
      </w:tr>
      <w:tr w:rsidR="00F04014" w14:paraId="0A985C0E" w14:textId="77777777" w:rsidTr="00F04014">
        <w:tc>
          <w:tcPr>
            <w:tcW w:w="3115" w:type="dxa"/>
          </w:tcPr>
          <w:p w14:paraId="38916411" w14:textId="76A954DA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Разработанность</w:t>
            </w:r>
          </w:p>
        </w:tc>
        <w:tc>
          <w:tcPr>
            <w:tcW w:w="3115" w:type="dxa"/>
          </w:tcPr>
          <w:p w14:paraId="3CB8A410" w14:textId="7DBC716F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15,4±2,0</w:t>
            </w: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5" w:type="dxa"/>
          </w:tcPr>
          <w:p w14:paraId="127AC305" w14:textId="1BC41B54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17,8±1,9</w:t>
            </w:r>
          </w:p>
        </w:tc>
      </w:tr>
      <w:tr w:rsidR="00F04014" w14:paraId="218FE47E" w14:textId="77777777" w:rsidTr="00F04014">
        <w:tc>
          <w:tcPr>
            <w:tcW w:w="3115" w:type="dxa"/>
          </w:tcPr>
          <w:p w14:paraId="226F384F" w14:textId="3D07F2E3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Общий балл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1FCFE985" w14:textId="3B87549E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4C1">
              <w:rPr>
                <w:rFonts w:ascii="Times New Roman" w:hAnsi="Times New Roman" w:cs="Times New Roman"/>
                <w:sz w:val="32"/>
                <w:szCs w:val="32"/>
              </w:rPr>
              <w:t>65,1±5,2</w:t>
            </w:r>
            <w:r w:rsidRPr="00D874C1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063E5D59" w14:textId="5CFEF85A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4C1">
              <w:rPr>
                <w:rFonts w:ascii="Times New Roman" w:hAnsi="Times New Roman" w:cs="Times New Roman"/>
                <w:sz w:val="32"/>
                <w:szCs w:val="32"/>
              </w:rPr>
              <w:t>79,2±6,1</w:t>
            </w:r>
          </w:p>
        </w:tc>
      </w:tr>
      <w:tr w:rsidR="00F04014" w:rsidRPr="00F04014" w14:paraId="1C8D8996" w14:textId="77777777" w:rsidTr="00F04014">
        <w:tc>
          <w:tcPr>
            <w:tcW w:w="3115" w:type="dxa"/>
            <w:tcBorders>
              <w:right w:val="nil"/>
            </w:tcBorders>
          </w:tcPr>
          <w:p w14:paraId="039CA149" w14:textId="77777777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5FFC9A23" w14:textId="77777777" w:rsidR="00F04014" w:rsidRPr="00F04014" w:rsidRDefault="00F04014" w:rsidP="00F040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Критическое мышление</w:t>
            </w: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AE41502" w14:textId="77777777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tcBorders>
              <w:left w:val="nil"/>
              <w:right w:val="nil"/>
            </w:tcBorders>
          </w:tcPr>
          <w:p w14:paraId="0B06BD01" w14:textId="77777777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014" w:rsidRPr="00F04014" w14:paraId="1E3C90F2" w14:textId="77777777" w:rsidTr="00F04014">
        <w:tc>
          <w:tcPr>
            <w:tcW w:w="3115" w:type="dxa"/>
          </w:tcPr>
          <w:p w14:paraId="578B02CD" w14:textId="4C849C66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Анализ аргументов</w:t>
            </w:r>
          </w:p>
        </w:tc>
        <w:tc>
          <w:tcPr>
            <w:tcW w:w="3115" w:type="dxa"/>
          </w:tcPr>
          <w:p w14:paraId="0AF75BE6" w14:textId="44405656" w:rsidR="00F04014" w:rsidRPr="00F04014" w:rsidRDefault="00F04014" w:rsidP="00F040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17,3±2,2</w:t>
            </w:r>
          </w:p>
        </w:tc>
        <w:tc>
          <w:tcPr>
            <w:tcW w:w="3115" w:type="dxa"/>
          </w:tcPr>
          <w:p w14:paraId="4E8D4FD6" w14:textId="30AA69D2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15,1±2,4</w:t>
            </w:r>
          </w:p>
        </w:tc>
      </w:tr>
      <w:tr w:rsidR="00F04014" w:rsidRPr="00F04014" w14:paraId="2809BECC" w14:textId="77777777" w:rsidTr="00F04014">
        <w:tc>
          <w:tcPr>
            <w:tcW w:w="3115" w:type="dxa"/>
          </w:tcPr>
          <w:p w14:paraId="6D10DE61" w14:textId="614D9CCB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Выявление ошибок</w:t>
            </w: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5" w:type="dxa"/>
          </w:tcPr>
          <w:p w14:paraId="3B30131E" w14:textId="683B3868" w:rsidR="00F04014" w:rsidRPr="00F04014" w:rsidRDefault="00F04014" w:rsidP="00F040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16,8±2,0</w:t>
            </w:r>
          </w:p>
        </w:tc>
        <w:tc>
          <w:tcPr>
            <w:tcW w:w="3115" w:type="dxa"/>
          </w:tcPr>
          <w:p w14:paraId="3E5A44AF" w14:textId="5E8554FC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13,9±2,1</w:t>
            </w:r>
          </w:p>
        </w:tc>
      </w:tr>
      <w:tr w:rsidR="00F04014" w:rsidRPr="00F04014" w14:paraId="7E389DBA" w14:textId="77777777" w:rsidTr="00F04014">
        <w:tc>
          <w:tcPr>
            <w:tcW w:w="3115" w:type="dxa"/>
          </w:tcPr>
          <w:p w14:paraId="1F9C82A0" w14:textId="19590EBA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Оценка достоверности</w:t>
            </w:r>
          </w:p>
        </w:tc>
        <w:tc>
          <w:tcPr>
            <w:tcW w:w="3115" w:type="dxa"/>
          </w:tcPr>
          <w:p w14:paraId="524BF34A" w14:textId="16A015AA" w:rsidR="00F04014" w:rsidRPr="00F04014" w:rsidRDefault="00F04014" w:rsidP="00F040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15,9±2,3</w:t>
            </w:r>
          </w:p>
        </w:tc>
        <w:tc>
          <w:tcPr>
            <w:tcW w:w="3115" w:type="dxa"/>
          </w:tcPr>
          <w:p w14:paraId="46C13C71" w14:textId="536FBF67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14,2±2,5</w:t>
            </w:r>
          </w:p>
        </w:tc>
      </w:tr>
      <w:tr w:rsidR="00F04014" w:rsidRPr="00F04014" w14:paraId="443051BF" w14:textId="77777777" w:rsidTr="00F04014">
        <w:tc>
          <w:tcPr>
            <w:tcW w:w="3115" w:type="dxa"/>
          </w:tcPr>
          <w:p w14:paraId="308EF1A2" w14:textId="0C298ABC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Формулирование выводов</w:t>
            </w:r>
          </w:p>
        </w:tc>
        <w:tc>
          <w:tcPr>
            <w:tcW w:w="3115" w:type="dxa"/>
          </w:tcPr>
          <w:p w14:paraId="76D8A00D" w14:textId="6706CE17" w:rsidR="00F04014" w:rsidRPr="00F04014" w:rsidRDefault="00F04014" w:rsidP="00F040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16,5±2,1</w:t>
            </w: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5" w:type="dxa"/>
          </w:tcPr>
          <w:p w14:paraId="6F810882" w14:textId="2C00E8FD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14,7±2,3</w:t>
            </w:r>
          </w:p>
        </w:tc>
      </w:tr>
      <w:tr w:rsidR="00F04014" w:rsidRPr="00F04014" w14:paraId="154E38CD" w14:textId="77777777" w:rsidTr="00F04014">
        <w:tc>
          <w:tcPr>
            <w:tcW w:w="3115" w:type="dxa"/>
          </w:tcPr>
          <w:p w14:paraId="7D0BEC5A" w14:textId="5F068D3A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Общий балл</w:t>
            </w:r>
          </w:p>
        </w:tc>
        <w:tc>
          <w:tcPr>
            <w:tcW w:w="3115" w:type="dxa"/>
          </w:tcPr>
          <w:p w14:paraId="4D773527" w14:textId="5DFDA5B5" w:rsidR="00F04014" w:rsidRPr="00F04014" w:rsidRDefault="00F04014" w:rsidP="00F040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66,5±7,1</w:t>
            </w: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5" w:type="dxa"/>
          </w:tcPr>
          <w:p w14:paraId="713EE7C4" w14:textId="3A4BD98D" w:rsidR="00F04014" w:rsidRPr="00F04014" w:rsidRDefault="00F04014" w:rsidP="00D874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4014">
              <w:rPr>
                <w:rFonts w:ascii="Times New Roman" w:hAnsi="Times New Roman" w:cs="Times New Roman"/>
                <w:sz w:val="28"/>
                <w:szCs w:val="28"/>
              </w:rPr>
              <w:t>57,9±8,0</w:t>
            </w:r>
          </w:p>
        </w:tc>
      </w:tr>
    </w:tbl>
    <w:p w14:paraId="0F93B263" w14:textId="191B4709" w:rsidR="00D874C1" w:rsidRPr="00F04014" w:rsidRDefault="00D874C1" w:rsidP="00D874C1">
      <w:pPr>
        <w:jc w:val="center"/>
        <w:rPr>
          <w:rFonts w:ascii="Times New Roman" w:hAnsi="Times New Roman" w:cs="Times New Roman"/>
          <w:sz w:val="28"/>
          <w:szCs w:val="28"/>
        </w:rPr>
      </w:pPr>
      <w:r w:rsidRPr="00F04014">
        <w:rPr>
          <w:rFonts w:ascii="Times New Roman" w:hAnsi="Times New Roman" w:cs="Times New Roman"/>
          <w:sz w:val="28"/>
          <w:szCs w:val="28"/>
        </w:rPr>
        <w:tab/>
      </w:r>
    </w:p>
    <w:bookmarkEnd w:id="0"/>
    <w:p w14:paraId="749EDC9E" w14:textId="79855755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ab/>
        <w:t>Статистическая обработка: для сравнения групп использован t‑критерий Стьюдента. Различия по творческому мышлению (</w:t>
      </w:r>
      <w:proofErr w:type="gramStart"/>
      <w:r w:rsidRPr="00D874C1">
        <w:rPr>
          <w:rFonts w:ascii="Times New Roman" w:hAnsi="Times New Roman" w:cs="Times New Roman"/>
          <w:sz w:val="32"/>
          <w:szCs w:val="32"/>
        </w:rPr>
        <w:t>p&lt;</w:t>
      </w:r>
      <w:proofErr w:type="gramEnd"/>
      <w:r w:rsidRPr="00D874C1">
        <w:rPr>
          <w:rFonts w:ascii="Times New Roman" w:hAnsi="Times New Roman" w:cs="Times New Roman"/>
          <w:sz w:val="32"/>
          <w:szCs w:val="32"/>
        </w:rPr>
        <w:t>0,01), по критическому мышлению (p&lt;0,05).</w:t>
      </w:r>
    </w:p>
    <w:p w14:paraId="63BAA847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Анализ результатов</w:t>
      </w:r>
    </w:p>
    <w:p w14:paraId="76777D58" w14:textId="77777777" w:rsid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 xml:space="preserve">Творческое мышление. Ученики общеобразовательного профиля показали достоверно более высокие результаты по всем параметрам. </w:t>
      </w:r>
    </w:p>
    <w:p w14:paraId="0AD6A495" w14:textId="26ED3E30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Вероятно, это связано с:</w:t>
      </w:r>
    </w:p>
    <w:p w14:paraId="7E62E7E9" w14:textId="1439C301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874C1">
        <w:rPr>
          <w:rFonts w:ascii="Times New Roman" w:hAnsi="Times New Roman" w:cs="Times New Roman"/>
          <w:sz w:val="32"/>
          <w:szCs w:val="32"/>
        </w:rPr>
        <w:t>широким спектром дисциплин (искусство, литература, технология), стимулирующим воображение;</w:t>
      </w:r>
    </w:p>
    <w:p w14:paraId="6DB72AAE" w14:textId="06FAC5E6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874C1">
        <w:rPr>
          <w:rFonts w:ascii="Times New Roman" w:hAnsi="Times New Roman" w:cs="Times New Roman"/>
          <w:sz w:val="32"/>
          <w:szCs w:val="32"/>
        </w:rPr>
        <w:t>частым использованием проектных и творческих заданий;</w:t>
      </w:r>
    </w:p>
    <w:p w14:paraId="0B441EC0" w14:textId="5D86B56F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874C1">
        <w:rPr>
          <w:rFonts w:ascii="Times New Roman" w:hAnsi="Times New Roman" w:cs="Times New Roman"/>
          <w:sz w:val="32"/>
          <w:szCs w:val="32"/>
        </w:rPr>
        <w:t>меньшей ориентацией на «единственно верный ответ».</w:t>
      </w:r>
    </w:p>
    <w:p w14:paraId="5776E8A5" w14:textId="77777777" w:rsid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 xml:space="preserve">Критическое мышление. Ученики физико‑математического профиля продемонстрировали лучшие результаты, особенно в анализе аргументов и выявлении логических ошибок. </w:t>
      </w:r>
    </w:p>
    <w:p w14:paraId="2787112E" w14:textId="2EB100C2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Возможные причины:</w:t>
      </w:r>
    </w:p>
    <w:p w14:paraId="4E9437F9" w14:textId="251195EA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874C1">
        <w:rPr>
          <w:rFonts w:ascii="Times New Roman" w:hAnsi="Times New Roman" w:cs="Times New Roman"/>
          <w:sz w:val="32"/>
          <w:szCs w:val="32"/>
        </w:rPr>
        <w:t>систематическая работа с задачами, требующими строгих рассуждений;</w:t>
      </w:r>
    </w:p>
    <w:p w14:paraId="16BE43D4" w14:textId="13EB5BF6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874C1">
        <w:rPr>
          <w:rFonts w:ascii="Times New Roman" w:hAnsi="Times New Roman" w:cs="Times New Roman"/>
          <w:sz w:val="32"/>
          <w:szCs w:val="32"/>
        </w:rPr>
        <w:t>акцент на доказательность в математике и физике;</w:t>
      </w:r>
    </w:p>
    <w:p w14:paraId="63A349EF" w14:textId="4733B0C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-</w:t>
      </w:r>
      <w:r w:rsidRPr="00D874C1">
        <w:rPr>
          <w:rFonts w:ascii="Times New Roman" w:hAnsi="Times New Roman" w:cs="Times New Roman"/>
          <w:sz w:val="32"/>
          <w:szCs w:val="32"/>
        </w:rPr>
        <w:t>развитие навыков проверки гипотез через эксперименты.</w:t>
      </w:r>
    </w:p>
    <w:p w14:paraId="79454395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Взаимосвязь типов мышления. В обеих группах выявлена умеренная положительная корреляция (r≈0,45) между уровнями творческого и критического мышления: учащиеся с развитым критическим мышлением чаще предлагали нестандартные решения, а творчески мыслящие лучше анализировали информацию.</w:t>
      </w:r>
    </w:p>
    <w:p w14:paraId="713EAF99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0CE3862F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Выводы</w:t>
      </w:r>
    </w:p>
    <w:p w14:paraId="0F9F6775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Гипотеза исследования подтвердилась частично:</w:t>
      </w:r>
    </w:p>
    <w:p w14:paraId="40A3C004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ученики физико‑математического профиля действительно имеют более высокий уровень критического мышления;</w:t>
      </w:r>
    </w:p>
    <w:p w14:paraId="53925397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ученики общеобразовательных классов демонстрируют более высокий уровень творческого мышления.</w:t>
      </w:r>
    </w:p>
    <w:p w14:paraId="4DA177B7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Профильное обучение оказывает дифференцированное влияние на развитие мыслительных навыков: углублённое изучение точных наук усиливает аналитические способности, а широкий учебный план способствует креативности.</w:t>
      </w:r>
    </w:p>
    <w:p w14:paraId="64A339C1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Оба типа мышления взаимосвязаны и могут дополнять друг друга в образовательном процессе.</w:t>
      </w:r>
    </w:p>
    <w:p w14:paraId="64EB7D59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3934B02D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Практические рекомендации</w:t>
      </w:r>
    </w:p>
    <w:p w14:paraId="355776F4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Для физико‑математических классов:</w:t>
      </w:r>
    </w:p>
    <w:p w14:paraId="4FA6C7B5" w14:textId="51C601B4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D874C1">
        <w:rPr>
          <w:rFonts w:ascii="Times New Roman" w:hAnsi="Times New Roman" w:cs="Times New Roman"/>
          <w:sz w:val="32"/>
          <w:szCs w:val="32"/>
        </w:rPr>
        <w:t>включать в уроки задачи с открытым решением;</w:t>
      </w:r>
    </w:p>
    <w:p w14:paraId="0E172EE4" w14:textId="04A5B284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D874C1">
        <w:rPr>
          <w:rFonts w:ascii="Times New Roman" w:hAnsi="Times New Roman" w:cs="Times New Roman"/>
          <w:sz w:val="32"/>
          <w:szCs w:val="32"/>
        </w:rPr>
        <w:t>использовать междисциплинарные проекты (например, «Физика в искусстве»);</w:t>
      </w:r>
    </w:p>
    <w:p w14:paraId="6F9E019C" w14:textId="63BE129F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874C1">
        <w:rPr>
          <w:rFonts w:ascii="Times New Roman" w:hAnsi="Times New Roman" w:cs="Times New Roman"/>
          <w:sz w:val="32"/>
          <w:szCs w:val="32"/>
        </w:rPr>
        <w:t>практиковать мозговые штурмы при поиске способов решения сложных задач.</w:t>
      </w:r>
    </w:p>
    <w:p w14:paraId="1BB0A467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629FB817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Для общеобразовательных классов:</w:t>
      </w:r>
    </w:p>
    <w:p w14:paraId="0183D5EE" w14:textId="7BCA53AE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- </w:t>
      </w:r>
      <w:r w:rsidRPr="00D874C1">
        <w:rPr>
          <w:rFonts w:ascii="Times New Roman" w:hAnsi="Times New Roman" w:cs="Times New Roman"/>
          <w:sz w:val="32"/>
          <w:szCs w:val="32"/>
        </w:rPr>
        <w:t>добавлять логические головоломки и задачи на доказательство;</w:t>
      </w:r>
    </w:p>
    <w:p w14:paraId="187C3890" w14:textId="1BF943DB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874C1">
        <w:rPr>
          <w:rFonts w:ascii="Times New Roman" w:hAnsi="Times New Roman" w:cs="Times New Roman"/>
          <w:sz w:val="32"/>
          <w:szCs w:val="32"/>
        </w:rPr>
        <w:t>обучать приёмам анализа информации (верификация источников, выявление манипуляций);</w:t>
      </w:r>
    </w:p>
    <w:p w14:paraId="4602C34B" w14:textId="44ACF5F6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874C1">
        <w:rPr>
          <w:rFonts w:ascii="Times New Roman" w:hAnsi="Times New Roman" w:cs="Times New Roman"/>
          <w:sz w:val="32"/>
          <w:szCs w:val="32"/>
        </w:rPr>
        <w:t>организовывать дебаты по научным темам.</w:t>
      </w:r>
    </w:p>
    <w:p w14:paraId="05DB0DFA" w14:textId="748AA4A2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874C1">
        <w:rPr>
          <w:rFonts w:ascii="Times New Roman" w:hAnsi="Times New Roman" w:cs="Times New Roman"/>
          <w:sz w:val="32"/>
          <w:szCs w:val="32"/>
        </w:rPr>
        <w:t>Для всех профилей:</w:t>
      </w:r>
    </w:p>
    <w:p w14:paraId="74AA9AB1" w14:textId="7603F5EE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874C1">
        <w:rPr>
          <w:rFonts w:ascii="Times New Roman" w:hAnsi="Times New Roman" w:cs="Times New Roman"/>
          <w:sz w:val="32"/>
          <w:szCs w:val="32"/>
        </w:rPr>
        <w:t>применять технологию развития критического мышления через чтение и письмо (ТРКМЧП);</w:t>
      </w:r>
    </w:p>
    <w:p w14:paraId="4672A7BC" w14:textId="10FEA6B9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D874C1">
        <w:rPr>
          <w:rFonts w:ascii="Times New Roman" w:hAnsi="Times New Roman" w:cs="Times New Roman"/>
          <w:sz w:val="32"/>
          <w:szCs w:val="32"/>
        </w:rPr>
        <w:t>сочетать творческие задания с рефлексией и обоснованием идей.</w:t>
      </w:r>
    </w:p>
    <w:p w14:paraId="3799BDCD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20132788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Заключение</w:t>
      </w:r>
    </w:p>
    <w:p w14:paraId="19E05FE1" w14:textId="7F64A455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D874C1">
        <w:rPr>
          <w:rFonts w:ascii="Times New Roman" w:hAnsi="Times New Roman" w:cs="Times New Roman"/>
          <w:sz w:val="32"/>
          <w:szCs w:val="32"/>
        </w:rPr>
        <w:t>Исследование показало, что образовательный профиль влияет на акценты в развитии мышления: физико‑математические классы усиливают критичность, общеобразовательные — креативность. Для гармоничного развития личности важно интегрировать оба направления в учебный процесс, создавая условия для синтеза творческого поиска и логического анализа. Перспективным направлением дальнейших исследований может стать изучение динамики этих навыков в старшем звене и их связи с академической успешностью.</w:t>
      </w:r>
    </w:p>
    <w:p w14:paraId="4FCAFB8D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39212EA2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Список литературы (пример оформления):</w:t>
      </w:r>
    </w:p>
    <w:p w14:paraId="25A39EC5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 xml:space="preserve">Вильямс Ф. Диагностика творческих способностей детей. — М.: </w:t>
      </w:r>
      <w:proofErr w:type="spellStart"/>
      <w:r w:rsidRPr="00D874C1">
        <w:rPr>
          <w:rFonts w:ascii="Times New Roman" w:hAnsi="Times New Roman" w:cs="Times New Roman"/>
          <w:sz w:val="32"/>
          <w:szCs w:val="32"/>
        </w:rPr>
        <w:t>Владос</w:t>
      </w:r>
      <w:proofErr w:type="spellEnd"/>
      <w:r w:rsidRPr="00D874C1">
        <w:rPr>
          <w:rFonts w:ascii="Times New Roman" w:hAnsi="Times New Roman" w:cs="Times New Roman"/>
          <w:sz w:val="32"/>
          <w:szCs w:val="32"/>
        </w:rPr>
        <w:t>, 2002.</w:t>
      </w:r>
    </w:p>
    <w:p w14:paraId="7AA76744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Старки Л. Развитие критического мышления. — СПб.: Питер, 2010.</w:t>
      </w:r>
    </w:p>
    <w:p w14:paraId="207EED4F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r w:rsidRPr="00D874C1">
        <w:rPr>
          <w:rFonts w:ascii="Times New Roman" w:hAnsi="Times New Roman" w:cs="Times New Roman"/>
          <w:sz w:val="32"/>
          <w:szCs w:val="32"/>
        </w:rPr>
        <w:t>Туник Е. Е. Диагностика креативности. Тест Вильямса. — СПб.: ИМАТОН, 1998.</w:t>
      </w:r>
    </w:p>
    <w:p w14:paraId="235CFB0D" w14:textId="77777777" w:rsidR="00D874C1" w:rsidRPr="00D874C1" w:rsidRDefault="00D874C1" w:rsidP="00D874C1">
      <w:pPr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D874C1">
        <w:rPr>
          <w:rFonts w:ascii="Times New Roman" w:hAnsi="Times New Roman" w:cs="Times New Roman"/>
          <w:sz w:val="32"/>
          <w:szCs w:val="32"/>
        </w:rPr>
        <w:t>Халперн</w:t>
      </w:r>
      <w:proofErr w:type="spellEnd"/>
      <w:r w:rsidRPr="00D874C1">
        <w:rPr>
          <w:rFonts w:ascii="Times New Roman" w:hAnsi="Times New Roman" w:cs="Times New Roman"/>
          <w:sz w:val="32"/>
          <w:szCs w:val="32"/>
        </w:rPr>
        <w:t xml:space="preserve"> Д. Психология критического мышления. — СПб.: Питер, 2000.</w:t>
      </w:r>
    </w:p>
    <w:sectPr w:rsidR="00D874C1" w:rsidRPr="00D8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15"/>
    <w:rsid w:val="00216A67"/>
    <w:rsid w:val="003A22BB"/>
    <w:rsid w:val="0065569A"/>
    <w:rsid w:val="009C1C39"/>
    <w:rsid w:val="00C47115"/>
    <w:rsid w:val="00D874C1"/>
    <w:rsid w:val="00F0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6C34"/>
  <w15:chartTrackingRefBased/>
  <w15:docId w15:val="{5AD4A745-08C2-4858-BBD5-B1131B54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4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dc:description/>
  <cp:lastModifiedBy>Психолог</cp:lastModifiedBy>
  <cp:revision>8</cp:revision>
  <dcterms:created xsi:type="dcterms:W3CDTF">2026-02-14T05:00:00Z</dcterms:created>
  <dcterms:modified xsi:type="dcterms:W3CDTF">2026-03-17T23:57:00Z</dcterms:modified>
</cp:coreProperties>
</file>