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46F9F" w14:textId="77777777" w:rsidR="00D9049A" w:rsidRDefault="00FF23CB">
      <w:pPr>
        <w:keepNext/>
        <w:suppressAutoHyphens/>
        <w:spacing w:after="120"/>
        <w:jc w:val="center"/>
        <w:outlineLvl w:val="2"/>
        <w:rPr>
          <w:rFonts w:ascii="Times New Roman" w:eastAsia="Lucida Sans Unicode" w:hAnsi="Times New Roman"/>
          <w:b/>
          <w:bCs/>
        </w:rPr>
      </w:pPr>
      <w:bookmarkStart w:id="0" w:name="_Hlk94000479"/>
      <w:r>
        <w:rPr>
          <w:noProof/>
          <w:lang w:bidi="ar-SA"/>
        </w:rPr>
        <w:drawing>
          <wp:inline distT="0" distB="0" distL="0" distR="0" wp14:anchorId="707B871E" wp14:editId="4DFB702D">
            <wp:extent cx="619125" cy="680525"/>
            <wp:effectExtent l="0" t="0" r="0" b="0"/>
            <wp:docPr id="1026" name="Рисунок 1" descr="РУТ (МИИТ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/>
                  </pic:nvPicPr>
                  <pic:blipFill>
                    <a:blip r:embed="rId9" cstate="print"/>
                    <a:srcRect l="3099" t="14674" r="71899" b="13043"/>
                    <a:stretch/>
                  </pic:blipFill>
                  <pic:spPr>
                    <a:xfrm>
                      <a:off x="0" y="0"/>
                      <a:ext cx="619125" cy="6805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B07A5" w14:textId="77777777" w:rsidR="00D9049A" w:rsidRDefault="00FF23CB">
      <w:pPr>
        <w:keepNext/>
        <w:suppressAutoHyphens/>
        <w:spacing w:after="120"/>
        <w:jc w:val="center"/>
        <w:outlineLvl w:val="2"/>
        <w:rPr>
          <w:rFonts w:ascii="Times New Roman" w:eastAsia="Lucida Sans Unicode" w:hAnsi="Times New Roman"/>
          <w:b/>
          <w:bCs/>
        </w:rPr>
      </w:pPr>
      <w:r>
        <w:rPr>
          <w:rFonts w:ascii="Times New Roman" w:eastAsia="Lucida Sans Unicode" w:hAnsi="Times New Roman"/>
          <w:b/>
          <w:bCs/>
        </w:rPr>
        <w:t>МИНИСТЕРСТВО ТРАНСПОРТА РОССИЙСКОЙ ФЕДЕРАЦИИ</w:t>
      </w:r>
    </w:p>
    <w:p w14:paraId="4E811989" w14:textId="77777777" w:rsidR="00D9049A" w:rsidRDefault="00FF23CB">
      <w:pPr>
        <w:suppressAutoHyphens/>
        <w:jc w:val="center"/>
        <w:rPr>
          <w:rFonts w:ascii="Times New Roman" w:eastAsia="Lucida Sans Unicode" w:hAnsi="Times New Roman"/>
          <w:b/>
          <w:sz w:val="20"/>
          <w:szCs w:val="20"/>
        </w:rPr>
      </w:pPr>
      <w:r>
        <w:rPr>
          <w:rFonts w:ascii="Times New Roman" w:eastAsia="Lucida Sans Unicode" w:hAnsi="Times New Roman"/>
          <w:b/>
          <w:sz w:val="20"/>
          <w:szCs w:val="20"/>
        </w:rPr>
        <w:t>ФЕДЕРАЛЬНОЕ ГОСУДАРСТВЕННОЕ АВТОНОМНОЕ ОБРАЗОВАТЕЛЬНОЕ</w:t>
      </w:r>
    </w:p>
    <w:p w14:paraId="49BD7961" w14:textId="77777777" w:rsidR="00D9049A" w:rsidRDefault="00FF23CB">
      <w:pPr>
        <w:suppressAutoHyphens/>
        <w:jc w:val="center"/>
        <w:rPr>
          <w:rFonts w:ascii="Times New Roman" w:eastAsia="Lucida Sans Unicode" w:hAnsi="Times New Roman"/>
          <w:b/>
          <w:sz w:val="20"/>
          <w:szCs w:val="20"/>
        </w:rPr>
      </w:pPr>
      <w:r>
        <w:rPr>
          <w:rFonts w:ascii="Times New Roman" w:eastAsia="Lucida Sans Unicode" w:hAnsi="Times New Roman"/>
          <w:b/>
          <w:sz w:val="20"/>
          <w:szCs w:val="20"/>
        </w:rPr>
        <w:t>УЧРЕЖДЕНИЕ ВЫСШЕГО ОБРАЗОВАНИЯ</w:t>
      </w:r>
    </w:p>
    <w:p w14:paraId="04E66B90" w14:textId="77777777" w:rsidR="00D9049A" w:rsidRDefault="00FF23CB">
      <w:pPr>
        <w:tabs>
          <w:tab w:val="left" w:pos="1230"/>
          <w:tab w:val="center" w:pos="4679"/>
        </w:tabs>
        <w:suppressAutoHyphens/>
        <w:jc w:val="center"/>
        <w:rPr>
          <w:rFonts w:ascii="Times New Roman" w:eastAsia="Lucida Sans Unicode" w:hAnsi="Times New Roman"/>
          <w:b/>
          <w:sz w:val="28"/>
          <w:szCs w:val="28"/>
        </w:rPr>
      </w:pPr>
      <w:r>
        <w:rPr>
          <w:rFonts w:ascii="Times New Roman" w:eastAsia="Lucida Sans Unicode" w:hAnsi="Times New Roman"/>
          <w:b/>
          <w:sz w:val="28"/>
          <w:szCs w:val="28"/>
        </w:rPr>
        <w:t>«РОССИЙСКИЙ УНИВЕРСИТЕТ ТРАНСПОРТА»</w:t>
      </w:r>
    </w:p>
    <w:p w14:paraId="16B92751" w14:textId="77777777" w:rsidR="00D9049A" w:rsidRDefault="00FF23CB">
      <w:pPr>
        <w:suppressAutoHyphens/>
        <w:jc w:val="center"/>
        <w:rPr>
          <w:rFonts w:ascii="Times New Roman" w:eastAsia="Lucida Sans Unicode" w:hAnsi="Times New Roman"/>
          <w:b/>
          <w:sz w:val="28"/>
          <w:szCs w:val="28"/>
        </w:rPr>
      </w:pPr>
      <w:r>
        <w:rPr>
          <w:rFonts w:ascii="Times New Roman" w:eastAsia="Lucida Sans Unicode" w:hAnsi="Times New Roman"/>
          <w:b/>
          <w:sz w:val="28"/>
          <w:szCs w:val="28"/>
        </w:rPr>
        <w:t>(РУТ (МИИТ)</w:t>
      </w:r>
    </w:p>
    <w:p w14:paraId="58260426" w14:textId="77777777" w:rsidR="00D9049A" w:rsidRDefault="00D9049A">
      <w:pPr>
        <w:rPr>
          <w:rFonts w:ascii="Times New Roman" w:eastAsia="Times New Roman" w:hAnsi="Times New Roman"/>
          <w:lang w:val="en-U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781"/>
      </w:tblGrid>
      <w:tr w:rsidR="00D9049A" w14:paraId="08BE2333" w14:textId="77777777">
        <w:trPr>
          <w:trHeight w:val="686"/>
          <w:jc w:val="center"/>
        </w:trPr>
        <w:tc>
          <w:tcPr>
            <w:tcW w:w="8781" w:type="dxa"/>
            <w:hideMark/>
          </w:tcPr>
          <w:p w14:paraId="457A08B6" w14:textId="77777777" w:rsidR="00D9049A" w:rsidRDefault="00FF23CB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lang w:val="en-US"/>
              </w:rPr>
              <w:t>ЮРИДИЧЕСКИЙ ИНСТИТУТ</w:t>
            </w:r>
          </w:p>
          <w:p w14:paraId="75ACFEF6" w14:textId="77777777" w:rsidR="00D9049A" w:rsidRDefault="00FF23CB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___________________________________________________________________</w:t>
            </w:r>
          </w:p>
        </w:tc>
      </w:tr>
    </w:tbl>
    <w:p w14:paraId="01590A5D" w14:textId="77777777" w:rsidR="00D9049A" w:rsidRDefault="00FF23CB">
      <w:pPr>
        <w:spacing w:line="360" w:lineRule="auto"/>
        <w:ind w:right="-567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Кафедра «Уголовное право, уголовный процесс и криминология»</w:t>
      </w:r>
    </w:p>
    <w:p w14:paraId="4FEF330D" w14:textId="77777777" w:rsidR="00D9049A" w:rsidRDefault="00D9049A">
      <w:pPr>
        <w:ind w:right="121"/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14:paraId="26866C71" w14:textId="77777777" w:rsidR="00D9049A" w:rsidRDefault="00D9049A">
      <w:pPr>
        <w:ind w:right="121"/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14:paraId="0DFAED84" w14:textId="77777777" w:rsidR="00D9049A" w:rsidRDefault="00D9049A">
      <w:pPr>
        <w:ind w:right="121"/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14:paraId="6E7698D9" w14:textId="77777777" w:rsidR="00D9049A" w:rsidRDefault="00D9049A">
      <w:pPr>
        <w:ind w:right="121"/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14:paraId="56D2AA00" w14:textId="77777777" w:rsidR="00D9049A" w:rsidRDefault="00D9049A">
      <w:pPr>
        <w:ind w:right="121"/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14:paraId="6AD0B4DD" w14:textId="77777777" w:rsidR="00D9049A" w:rsidRDefault="00FF23CB">
      <w:pPr>
        <w:ind w:right="121"/>
        <w:jc w:val="center"/>
        <w:rPr>
          <w:rFonts w:ascii="Times New Roman" w:eastAsia="Times New Roman" w:hAnsi="Times New Roman"/>
          <w:b/>
          <w:sz w:val="40"/>
          <w:szCs w:val="40"/>
        </w:rPr>
      </w:pPr>
      <w:r w:rsidRPr="004E223F">
        <w:rPr>
          <w:rFonts w:ascii="Times New Roman" w:eastAsia="Times New Roman" w:hAnsi="Times New Roman"/>
          <w:b/>
          <w:sz w:val="28"/>
          <w:szCs w:val="28"/>
        </w:rPr>
        <w:t>Научная статья на тему:</w:t>
      </w:r>
    </w:p>
    <w:p w14:paraId="63B76D95" w14:textId="77777777" w:rsidR="00D9049A" w:rsidRDefault="00FF23CB">
      <w:pPr>
        <w:ind w:right="121"/>
        <w:jc w:val="center"/>
        <w:rPr>
          <w:rFonts w:ascii="Times New Roman" w:eastAsia="Times New Roman" w:hAnsi="Times New Roman"/>
          <w:b/>
          <w:sz w:val="40"/>
          <w:szCs w:val="40"/>
        </w:rPr>
      </w:pPr>
      <w:r w:rsidRPr="004E223F">
        <w:rPr>
          <w:rFonts w:ascii="Times New Roman" w:eastAsia="Times New Roman" w:hAnsi="Times New Roman"/>
          <w:b/>
          <w:sz w:val="28"/>
          <w:szCs w:val="28"/>
        </w:rPr>
        <w:t>«Теоретические основы соучастия в уголовном праве</w:t>
      </w:r>
      <w:r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14:paraId="0EF3CB2B" w14:textId="77777777" w:rsidR="00D9049A" w:rsidRDefault="00FF23CB">
      <w:pPr>
        <w:ind w:right="121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по дисциплине</w:t>
      </w:r>
    </w:p>
    <w:p w14:paraId="39C5E286" w14:textId="77777777" w:rsidR="00D9049A" w:rsidRDefault="00FF23CB">
      <w:pPr>
        <w:ind w:firstLine="142"/>
        <w:jc w:val="center"/>
        <w:rPr>
          <w:rFonts w:ascii="Times New Roman" w:eastAsia="Times New Roman" w:hAnsi="Times New Roman"/>
          <w:b/>
          <w:szCs w:val="28"/>
          <w:highlight w:val="yellow"/>
        </w:rPr>
      </w:pPr>
      <w:r>
        <w:rPr>
          <w:rFonts w:ascii="Times New Roman" w:eastAsia="Times New Roman" w:hAnsi="Times New Roman"/>
          <w:b/>
          <w:sz w:val="28"/>
          <w:szCs w:val="28"/>
        </w:rPr>
        <w:t>«Проектная деятельность»</w:t>
      </w:r>
    </w:p>
    <w:p w14:paraId="77900777" w14:textId="77777777" w:rsidR="00D9049A" w:rsidRDefault="00D9049A">
      <w:pPr>
        <w:ind w:firstLine="284"/>
        <w:jc w:val="center"/>
        <w:rPr>
          <w:rFonts w:ascii="Times New Roman" w:eastAsia="Times New Roman" w:hAnsi="Times New Roman"/>
          <w:i/>
          <w:sz w:val="20"/>
          <w:szCs w:val="20"/>
        </w:rPr>
      </w:pPr>
    </w:p>
    <w:p w14:paraId="6B7B69CC" w14:textId="77777777" w:rsidR="00D9049A" w:rsidRDefault="00D9049A">
      <w:pPr>
        <w:ind w:firstLine="142"/>
        <w:jc w:val="center"/>
        <w:rPr>
          <w:rFonts w:ascii="Times New Roman" w:eastAsia="Times New Roman" w:hAnsi="Times New Roman"/>
          <w:b/>
          <w:bCs/>
          <w:noProof/>
          <w:sz w:val="44"/>
          <w:szCs w:val="44"/>
        </w:rPr>
      </w:pPr>
    </w:p>
    <w:p w14:paraId="7896A3D4" w14:textId="77777777" w:rsidR="00D9049A" w:rsidRDefault="00D9049A">
      <w:pPr>
        <w:ind w:firstLine="142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4617EB6F" w14:textId="77777777" w:rsidR="00D9049A" w:rsidRDefault="00D9049A">
      <w:pPr>
        <w:ind w:firstLine="142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1EAFDF10" w14:textId="77777777" w:rsidR="00D9049A" w:rsidRDefault="00FF23CB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4E223F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</w:p>
    <w:p w14:paraId="5C0D2534" w14:textId="77777777" w:rsidR="00D9049A" w:rsidRDefault="00D9049A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7F592529" w14:textId="77777777" w:rsidR="00D9049A" w:rsidRDefault="00D9049A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19F39DF8" w14:textId="77777777" w:rsidR="00D9049A" w:rsidRDefault="00D9049A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31FFE12D" w14:textId="77777777" w:rsidR="00D9049A" w:rsidRDefault="00D9049A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406E4A06" w14:textId="77777777" w:rsidR="00D9049A" w:rsidRDefault="00D9049A">
      <w:pPr>
        <w:rPr>
          <w:rFonts w:ascii="Times New Roman" w:eastAsia="Times New Roman" w:hAnsi="Times New Roman"/>
          <w:b/>
          <w:i/>
          <w:sz w:val="28"/>
          <w:szCs w:val="28"/>
        </w:rPr>
      </w:pPr>
    </w:p>
    <w:p w14:paraId="621A9761" w14:textId="77777777" w:rsidR="00D9049A" w:rsidRDefault="00D9049A">
      <w:pPr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312E3DDB" w14:textId="77777777" w:rsidR="00D9049A" w:rsidRDefault="00D9049A">
      <w:pPr>
        <w:ind w:firstLine="284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5607B753" w14:textId="77777777" w:rsidR="00D9049A" w:rsidRDefault="00FF23CB">
      <w:pPr>
        <w:ind w:firstLine="284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4E223F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    Подготовила: студентка группы ЮПБ-361</w:t>
      </w:r>
    </w:p>
    <w:p w14:paraId="0110D0E9" w14:textId="77777777" w:rsidR="00D9049A" w:rsidRDefault="00FF23CB">
      <w:pPr>
        <w:ind w:firstLine="284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4E223F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                              Дидич Дарина Владимировна </w:t>
      </w:r>
    </w:p>
    <w:p w14:paraId="7D2B2161" w14:textId="77777777" w:rsidR="00D9049A" w:rsidRDefault="00D9049A">
      <w:pPr>
        <w:ind w:firstLine="284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7AAC82EB" w14:textId="77777777" w:rsidR="00D9049A" w:rsidRDefault="00D9049A">
      <w:pPr>
        <w:shd w:val="clear" w:color="auto" w:fill="FFFFFF"/>
        <w:suppressAutoHyphens/>
        <w:spacing w:before="240"/>
        <w:ind w:right="45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7276057" w14:textId="77777777" w:rsidR="00D9049A" w:rsidRDefault="00D9049A">
      <w:pPr>
        <w:shd w:val="clear" w:color="auto" w:fill="FFFFFF"/>
        <w:suppressAutoHyphens/>
        <w:spacing w:before="240"/>
        <w:ind w:right="45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CA7C3E5" w14:textId="77777777" w:rsidR="00D9049A" w:rsidRDefault="00FF23CB">
      <w:pPr>
        <w:shd w:val="clear" w:color="auto" w:fill="FFFFFF"/>
        <w:suppressAutoHyphens/>
        <w:spacing w:before="240"/>
        <w:ind w:right="45"/>
        <w:rPr>
          <w:rFonts w:ascii="Times New Roman" w:eastAsia="Times New Roman" w:hAnsi="Times New Roman"/>
          <w:b/>
          <w:bCs/>
          <w:sz w:val="28"/>
          <w:szCs w:val="28"/>
        </w:rPr>
      </w:pPr>
      <w:r w:rsidRPr="004E223F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Москва 202</w:t>
      </w:r>
      <w:r w:rsidRPr="004E223F">
        <w:rPr>
          <w:rFonts w:ascii="Times New Roman" w:eastAsia="Times New Roman" w:hAnsi="Times New Roman"/>
          <w:b/>
          <w:bCs/>
          <w:sz w:val="28"/>
          <w:szCs w:val="28"/>
        </w:rPr>
        <w:t xml:space="preserve">5 </w:t>
      </w:r>
      <w:r>
        <w:rPr>
          <w:rFonts w:ascii="Times New Roman" w:eastAsia="Times New Roman" w:hAnsi="Times New Roman"/>
          <w:b/>
          <w:bCs/>
          <w:sz w:val="28"/>
          <w:szCs w:val="28"/>
        </w:rPr>
        <w:t>г.</w:t>
      </w:r>
    </w:p>
    <w:bookmarkEnd w:id="0"/>
    <w:p w14:paraId="5B12FD4F" w14:textId="77777777" w:rsidR="00D9049A" w:rsidRDefault="00FF23CB"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4E223F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Теоретические основы соучастия в уголовном праве</w:t>
      </w:r>
    </w:p>
    <w:p w14:paraId="028CA6BB" w14:textId="77777777" w:rsidR="00D9049A" w:rsidRDefault="00D9049A">
      <w:pPr>
        <w:spacing w:line="360" w:lineRule="auto"/>
        <w:ind w:left="240"/>
        <w:rPr>
          <w:sz w:val="28"/>
          <w:szCs w:val="28"/>
        </w:rPr>
      </w:pPr>
    </w:p>
    <w:p w14:paraId="68E4FE0B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Аннотация: </w:t>
      </w:r>
      <w:r>
        <w:rPr>
          <w:rFonts w:ascii="Times New Roman" w:hAnsi="Times New Roman" w:cs="Times New Roman"/>
          <w:sz w:val="28"/>
          <w:szCs w:val="28"/>
        </w:rPr>
        <w:t>Настоящая статья посвящена комплексному исследованию теоретических основ института соучастия в уголовном праве. Анализируются сущность, признаки и формы соучастия, а также его значение для построения справедливой уголовно-правовой системы. Особое внимание уделяется разграничению соучастия и смежных институтов, а также проблемам квалификации преступлений, совершенных в соучастии.</w:t>
      </w:r>
    </w:p>
    <w:p w14:paraId="33F2C8FC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соучастие, преступление, уголовное право, исполнитель, подстрекатель, пособник, организатор, объективная сторона, субъективная сторона, квалификация преступлений.</w:t>
      </w:r>
    </w:p>
    <w:p w14:paraId="041545FD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Введение </w:t>
      </w:r>
    </w:p>
    <w:p w14:paraId="3F2AB79A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 соучастия в преступлении является одним из фундаментальных и наиболее сложных в уголовном праве. Его значимость обусловлена тем, что значительная часть преступлений совершается не единолично, а группой лиц. Понимание теоретических основ соучастия необходимо для правильной квалификации преступных деяний, индивидуализации наказания и обеспечения принципа справедливости. В настоящей статье мы предпримем попытку систематизировать и углубить теоретические представления о соучастии, выявив его ключевые аспекты и проблемные зоны.</w:t>
      </w:r>
    </w:p>
    <w:p w14:paraId="64D26DBA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признаки соучастия в преступлении</w:t>
      </w:r>
    </w:p>
    <w:p w14:paraId="77C87027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Соучастие в преступлении, согласно большинству уголовно-правовых доктрин, определяется как умышленное совместное участие двух или более лиц в совершении умышленного преступления. Из данного определения вытекают основные признаки соучастия:</w:t>
      </w:r>
    </w:p>
    <w:p w14:paraId="5F838479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Множественность субъектов: Для наличия соучастия необходимо участие как минимум двух лиц. При этом важно, чтобы каждое из этих лиц обладало признаками субъекта преступления (вменяемость, достижение возраста уголовной ответственности).</w:t>
      </w:r>
    </w:p>
    <w:p w14:paraId="537DFCFC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Совместность действий: Действия соучастников должны быть направлены на достижение единого преступного результата. Эта совместность может проявляться как в одновременных, так и в последовательных действиях, направленных на реализацию общего умысла.</w:t>
      </w:r>
    </w:p>
    <w:p w14:paraId="235F2006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Умышленный характер: Соучастие возможно только в умышленных преступлениях. Действия соучастников должны быть осознанными и направленными на совершение преступления. Неосторожное участие в преступлении не образует соучастия.</w:t>
      </w:r>
    </w:p>
    <w:p w14:paraId="135C3CCE" w14:textId="77777777" w:rsidR="00D9049A" w:rsidRDefault="00FF23CB">
      <w:pPr>
        <w:spacing w:line="360" w:lineRule="auto"/>
        <w:ind w:left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общего умысла: Ключевым признаком соучастия является наличие общего умысла на совершение конкретного преступления. Это означает, что каждый из соучастников осознает общественно опасный характер деяния, предвидит его последствия и желает их наступления, а также осознает участие других лиц в совершении этого деяния.</w:t>
      </w:r>
    </w:p>
    <w:p w14:paraId="54956E45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соучастия</w:t>
      </w:r>
    </w:p>
    <w:p w14:paraId="03B43931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Уголовное законодательство большинства стран, включая Российскую Федерацию, выделяет четыре основные формы соучастия, которые различаются по степени участия и выполняемым функциям:</w:t>
      </w:r>
    </w:p>
    <w:p w14:paraId="3402C466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(соисполнитель): Это лицо, непосредственно совершившее преступление, либо участвовавшее в его совершении совместно с другими лицами. Исполнитель является основным субъектом преступления, чьи действия непосредственно направлены на достижение преступного результата.</w:t>
      </w:r>
    </w:p>
    <w:p w14:paraId="69354E5A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Организатор: Это лицо, которое руководило исполнением преступления, а равно лицо, создавшее организованную группу или преступное сообщество (преступную организацию) либо руководившее ими. Организатор не обязательно совершает фактические действия по исполнению преступления, но его роль заключается в планировании, координации и управлении действиями других соучастников.</w:t>
      </w:r>
    </w:p>
    <w:p w14:paraId="3D0BAF9B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Подстрекатель: Это лицо, склонившее другое лицо к совершению преступления путем уговора, подкупа, угрозы или иным способом. Подстрекатель инициирует преступную деятельность, мотивируя других к ее совершению.</w:t>
      </w:r>
    </w:p>
    <w:p w14:paraId="045CB025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Пособник: Это лицо, содействовавшее совершению преступления советами, указаниями, предоставлением информации, средств или устранением препятствий. Пособник облегчает совершение преступления, но не участвует непосредственно в его исполнении.</w:t>
      </w:r>
    </w:p>
    <w:p w14:paraId="72DE1EF4" w14:textId="77777777" w:rsidR="00D9049A" w:rsidRDefault="00FF23CB">
      <w:pPr>
        <w:spacing w:line="360" w:lineRule="auto"/>
        <w:ind w:left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 отметить, что законодательство может предусматривать и другие формы соучастия, например, в виде "соисполнительства" при наличии нескольких лиц, непосредственно </w:t>
      </w:r>
      <w:r w:rsidRPr="004E223F">
        <w:rPr>
          <w:rFonts w:ascii="Times New Roman" w:hAnsi="Times New Roman" w:cs="Times New Roman"/>
          <w:sz w:val="28"/>
          <w:szCs w:val="28"/>
        </w:rPr>
        <w:t>сов</w:t>
      </w:r>
      <w:r>
        <w:rPr>
          <w:rFonts w:ascii="Times New Roman" w:hAnsi="Times New Roman" w:cs="Times New Roman"/>
          <w:sz w:val="28"/>
          <w:szCs w:val="28"/>
        </w:rPr>
        <w:t>ершающих одно преступление.</w:t>
      </w:r>
    </w:p>
    <w:p w14:paraId="4E567A97" w14:textId="77777777" w:rsidR="004E223F" w:rsidRDefault="004E223F">
      <w:pPr>
        <w:spacing w:line="360" w:lineRule="auto"/>
        <w:ind w:left="240"/>
        <w:rPr>
          <w:sz w:val="28"/>
          <w:szCs w:val="28"/>
        </w:rPr>
      </w:pPr>
    </w:p>
    <w:p w14:paraId="66A9C7BF" w14:textId="77777777" w:rsidR="00D9049A" w:rsidRDefault="00FF23CB">
      <w:pPr>
        <w:spacing w:line="360" w:lineRule="auto"/>
        <w:ind w:left="240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Объективная и субъективная сторона соучастия</w:t>
      </w:r>
    </w:p>
    <w:p w14:paraId="1A60E2E0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Объективная сторона соучастия характеризуется наличием действий (или бездействия) каждого из соучастников, направленных на совершение общего преступления. Эти действия должны быть причинно связаны с наступившими последствиями. Важно, чтобы действия каждого соучастника были объективно необходимы или способствовали совершению преступления.</w:t>
      </w:r>
    </w:p>
    <w:p w14:paraId="11EC61DA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Субъективная сторона соучастия является наиболее сложным аспектом. Как уже отмечалось, ключевым элементом является общий умысел. Это означает, что каждый соучастник должен осознавать:</w:t>
      </w:r>
    </w:p>
    <w:p w14:paraId="34729DB2" w14:textId="77777777" w:rsidR="00D9049A" w:rsidRDefault="00D9049A">
      <w:pPr>
        <w:spacing w:line="360" w:lineRule="auto"/>
        <w:ind w:left="240"/>
        <w:rPr>
          <w:sz w:val="28"/>
          <w:szCs w:val="28"/>
        </w:rPr>
      </w:pPr>
    </w:p>
    <w:p w14:paraId="2C1883AA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Общественно опасный характер совершаемого деяния.</w:t>
      </w:r>
    </w:p>
    <w:p w14:paraId="437FEDF8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Наступление общественно опасных последствий.</w:t>
      </w:r>
    </w:p>
    <w:p w14:paraId="1DD91B70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Свою роль в совершении преступления.</w:t>
      </w:r>
    </w:p>
    <w:p w14:paraId="2CFE5116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Роль других соучастников в совершении преступления.</w:t>
      </w:r>
    </w:p>
    <w:p w14:paraId="337971B7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Желание наступления общественно опасных последствий.</w:t>
      </w:r>
    </w:p>
    <w:p w14:paraId="550C4036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Отсутствие общего умысла, например, когда одно лицо совершает преступление, а другое, не зная об этом, оказывает ему случайную помощь, не образует соучастия. В таких случаях действия второго лица могут быть квалифицированы как непредумышленное содействие или вовсе не иметь уголовно-правового значения.</w:t>
      </w:r>
    </w:p>
    <w:p w14:paraId="52084370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Значение соучастия для квалификации преступлений</w:t>
      </w:r>
    </w:p>
    <w:p w14:paraId="22100824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Правильное установление факта соучастия и определение роли каждого соучастника имеет решающее значение для квалификации преступления. Уголовное законодательство большинства стран придерживается принципа "ответственность каждого за свои действия и их последствия" в рамках общего умысла. Это означает, что:</w:t>
      </w:r>
    </w:p>
    <w:p w14:paraId="5C15087F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Исполнитель несет ответственность за все действия, совершенные им лично, а также за действия других соучастников, если они охватывались его умыслом.</w:t>
      </w:r>
    </w:p>
    <w:p w14:paraId="2DF3CB8D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Организатор, подстрекатель и пособник несут ответственность за то преступление, к совершению которого они склоняли, организовывали или пособничали, а также за те последствия, которые наступили в результате действий исполнителя, если эти последствия охватывались их умыслом.</w:t>
      </w:r>
    </w:p>
    <w:p w14:paraId="7CD4AAC6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Однако существуют и исключения. Например, если исполнитель выходит за рамки общего умысла и совершает более тяжкое преступление, чем планировалось соучастниками, то организатор, подстрекатель и пособник не несут ответственности за это более тяжкое преступление, если оно не охватывалось их умыслом. В таких случаях их действия квалифицируются по статье, соответствующей первоначально запланированному преступлению, а действия исполнителя – по статье, соответствующей совершенному им более тяжкому преступлению.</w:t>
      </w:r>
    </w:p>
    <w:p w14:paraId="05A863DF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Также важно разграничивать соучастие и "случайное" совпадение действий. Например, если два лица независимо друг от друга совершают одно и то же преступление в одном месте и в одно время, но без предварительной договоренности и общего умысла, то это не является соучастием. Каждое лицо будет нести ответственность за свои действия как за самостоятельное преступление.</w:t>
      </w:r>
    </w:p>
    <w:p w14:paraId="280C11BE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Проблемы квалификации преступлений, совершенных в соучастии</w:t>
      </w:r>
    </w:p>
    <w:p w14:paraId="7211748C" w14:textId="77777777" w:rsidR="00D9049A" w:rsidRDefault="00D9049A">
      <w:pPr>
        <w:spacing w:line="360" w:lineRule="auto"/>
        <w:ind w:left="240"/>
        <w:rPr>
          <w:sz w:val="28"/>
          <w:szCs w:val="28"/>
        </w:rPr>
      </w:pPr>
    </w:p>
    <w:p w14:paraId="22B1067D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Несмотря на разработанность теоретических основ, на практике возникают определенные сложности при квалификации преступлений, совершенных в соучастии. К наиболее распространенным проблемам относятся:</w:t>
      </w:r>
    </w:p>
    <w:p w14:paraId="7C52A4FA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Установление общего умысла: Доказательство наличия общего умысла, особенно в случаях, когда соучастники не имели прямой связи друг с другом или действовали в разное время, может быть затруднительным. Суды опираются на совокупность доказательств, включая показания свидетелей, переписку, записи разговоров и другие материалы, подтверждающие согласованность действий и намерений.</w:t>
      </w:r>
    </w:p>
    <w:p w14:paraId="098FF42C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Разграничение форм соучастия: Четкое разграничение ролей исполнителя, организатора, подстрекателя и пособника не всегда очевидно. Например, грань между организатором и подстрекателем может быть тонкой, особенно если организатор также склоняет других к совершению преступления.</w:t>
      </w:r>
    </w:p>
    <w:p w14:paraId="7296FE4B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Квалификация действий соучастников при изменении обстановки или выходе за рамки умысла: Как уже упоминалось, определение ответственности при изменении первоначального плана или совершении исполнителем более тяжкого преступления требует тщательного анализа умысла каждого соучастника.</w:t>
      </w:r>
    </w:p>
    <w:p w14:paraId="25A679EF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Соучастие в неосторожных преступлениях: Теоретически соучастие возможно и в неосторожных преступлениях, однако на практике оно встречается редко и вызывает значительные трудности в квалификации. Например, если два лица неосторожно создают условия для наступления вредных последствий, но их неосторожные действия не связаны общим умыслом на причинение вреда, то квалификация становится крайне сложной.</w:t>
      </w:r>
    </w:p>
    <w:p w14:paraId="7EA094DF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Соучастие в преступлениях с формальным составом: В преступлениях с формальным составом, где само деяние является оконченным, независимо от наступления последствий, установление соучастия также имеет свои особенности. Важно, чтобы действия каждого соучастника были направлены на совершение именно этого формального состава.</w:t>
      </w:r>
    </w:p>
    <w:p w14:paraId="717C210D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Совершенствование законодательства и правоприменительной практики</w:t>
      </w:r>
    </w:p>
    <w:p w14:paraId="420CDB18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Для решения существующих проблем и дальнейшего совершенствования института соучастия в уголовном праве необходимо:</w:t>
      </w:r>
    </w:p>
    <w:p w14:paraId="023E0CCD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Дальнейшее развитие доктринальных положений: Углубленное изучение теоретических аспектов соучастия, в том числе его соотношения с другими институтами уголовного права, позволит выработать более четкие критерии для квалификации.</w:t>
      </w:r>
    </w:p>
    <w:p w14:paraId="217DC939" w14:textId="77777777" w:rsidR="00D9049A" w:rsidRDefault="00D9049A">
      <w:pPr>
        <w:spacing w:line="360" w:lineRule="auto"/>
        <w:ind w:left="240"/>
        <w:rPr>
          <w:sz w:val="28"/>
          <w:szCs w:val="28"/>
        </w:rPr>
      </w:pPr>
    </w:p>
    <w:p w14:paraId="719D64C0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Совершенствование законодательства: Возможно, потребуется внесение уточнений в действующее уголовное законодательство, направленных на более четкое определение признаков соучастия и разграничение его форм. Это может включать в себя разработку более детализированных норм, регулирующих ответственность соучастников при различных сценариях совершения преступлений.</w:t>
      </w:r>
    </w:p>
    <w:p w14:paraId="3E2F10D0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Повышение качества правоприменительной деятельности: Важную роль играет повышение квалификации сотрудников правоохранительных органов и судей в области квалификации преступлений, совершенных в соучастии. Проведение обучающих семинаров, разработка методических рекомендаций и обобщение судебной практики могут способствовать более единообразному и справедливому применению норм о соучастии.</w:t>
      </w:r>
    </w:p>
    <w:p w14:paraId="2EA4C72B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Активное использование современных методов исследования: Применение криминалистических и психологических методов исследования может помочь в установлении общего умысла и характера взаимоотношений между соучастниками, что, в свою очередь, облегчит квалификацию.</w:t>
      </w:r>
    </w:p>
    <w:p w14:paraId="02797AAA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Заключение</w:t>
      </w:r>
    </w:p>
    <w:p w14:paraId="09638E86" w14:textId="77777777" w:rsidR="00D9049A" w:rsidRDefault="00FF23CB">
      <w:pPr>
        <w:spacing w:line="360" w:lineRule="auto"/>
        <w:ind w:left="240"/>
        <w:rPr>
          <w:rFonts w:ascii="Times New Roman" w:hAnsi="Times New Roman" w:cs="Times New Roman"/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Институт соучастия в преступлении является краеугольным камнем уголовного права, отражающим сложность человеческого поведения и необходимость адекватного реагирования на коллективные формы преступной деятельности. Теоретические основы соучастия, включающие в себя понятие, признаки и формы, служат фундаментом для правильной квалификации преступлений и обеспечения принципа справедливости. Несмотря на существующие проблемы в правоприменительной практике, постоянное развитие доктринальных положений, совершенствование законодательства и повышение профессионализма субъектов уголовного процесса позволят более эффективно бороться с преступностью, совершаемой в соучастии, и обеспечивать неотвратимость наказания для всех виновных. Дальнейшие исследования в области соучастия, направленные на разрешение спорных вопросов и выявление новых аспектов, будут способствовать укреплению правопорядка и защите прав и законных интересов граждан.</w:t>
      </w:r>
    </w:p>
    <w:p w14:paraId="4B5F5817" w14:textId="77777777" w:rsidR="004E223F" w:rsidRDefault="004E223F">
      <w:pPr>
        <w:spacing w:line="360" w:lineRule="auto"/>
        <w:ind w:left="240"/>
        <w:rPr>
          <w:sz w:val="28"/>
          <w:szCs w:val="28"/>
        </w:rPr>
      </w:pPr>
    </w:p>
    <w:p w14:paraId="23C337AD" w14:textId="77777777" w:rsidR="00D9049A" w:rsidRDefault="00FF23CB">
      <w:pPr>
        <w:spacing w:line="360" w:lineRule="auto"/>
        <w:ind w:left="240"/>
        <w:rPr>
          <w:b/>
          <w:bCs/>
          <w:sz w:val="28"/>
          <w:szCs w:val="28"/>
        </w:rPr>
      </w:pPr>
      <w:r w:rsidRPr="004E223F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133B9D6D" w14:textId="77777777" w:rsidR="00D9049A" w:rsidRPr="004E223F" w:rsidRDefault="00FF23CB" w:rsidP="004E223F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 xml:space="preserve">Уголовный кодекс Российской Федерации от 13.06.1996 </w:t>
      </w:r>
      <w:r w:rsidRPr="004E223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E223F">
        <w:rPr>
          <w:rFonts w:ascii="Times New Roman" w:hAnsi="Times New Roman" w:cs="Times New Roman"/>
          <w:sz w:val="28"/>
          <w:szCs w:val="28"/>
        </w:rPr>
        <w:t xml:space="preserve"> 63-ФЗ (ред. от 25.12.2023).</w:t>
      </w:r>
    </w:p>
    <w:p w14:paraId="71130D33" w14:textId="77777777" w:rsidR="00D9049A" w:rsidRPr="004E223F" w:rsidRDefault="00FF23CB" w:rsidP="004E223F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Борзенков Г.Н., Комментарий к Уголовному кодексу Российской Федерации. – М.: Проспект, 2023.</w:t>
      </w:r>
    </w:p>
    <w:p w14:paraId="02EE5CFC" w14:textId="77777777" w:rsidR="00D9049A" w:rsidRPr="004E223F" w:rsidRDefault="00FF23CB" w:rsidP="004E223F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Галиакбаров Р.З. Уголовное право. Общая часть. – М.: Норма, 2022.</w:t>
      </w:r>
    </w:p>
    <w:p w14:paraId="0D71E1FA" w14:textId="77777777" w:rsidR="00D9049A" w:rsidRPr="004E223F" w:rsidRDefault="00FF23CB" w:rsidP="004E223F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Наумов А.В. Российское уголовное право. Курс лекций. В 2-х томах. Том 1. Общая часть. – М.: Юридическая литература, 2021.</w:t>
      </w:r>
    </w:p>
    <w:p w14:paraId="64F6F0AA" w14:textId="77777777" w:rsidR="00D9049A" w:rsidRDefault="00FF23CB">
      <w:pPr>
        <w:spacing w:line="360" w:lineRule="auto"/>
        <w:ind w:left="240"/>
        <w:rPr>
          <w:sz w:val="28"/>
          <w:szCs w:val="28"/>
        </w:rPr>
      </w:pPr>
      <w:r w:rsidRPr="004E223F">
        <w:rPr>
          <w:rFonts w:ascii="Times New Roman" w:hAnsi="Times New Roman" w:cs="Times New Roman"/>
          <w:sz w:val="28"/>
          <w:szCs w:val="28"/>
        </w:rPr>
        <w:t>(И другие релевантные источники)</w:t>
      </w:r>
    </w:p>
    <w:sectPr w:rsidR="00D9049A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5904D" w14:textId="77777777" w:rsidR="00FF23CB" w:rsidRDefault="00FF23CB">
      <w:r>
        <w:separator/>
      </w:r>
    </w:p>
  </w:endnote>
  <w:endnote w:type="continuationSeparator" w:id="0">
    <w:p w14:paraId="09D8BCAE" w14:textId="77777777" w:rsidR="00FF23CB" w:rsidRDefault="00FF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8C740" w14:textId="77777777" w:rsidR="00D9049A" w:rsidRDefault="00D9049A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B41D7" w14:textId="77777777" w:rsidR="00FF23CB" w:rsidRDefault="00FF23CB">
      <w:r>
        <w:separator/>
      </w:r>
    </w:p>
  </w:footnote>
  <w:footnote w:type="continuationSeparator" w:id="0">
    <w:p w14:paraId="6CBC50D0" w14:textId="77777777" w:rsidR="00FF23CB" w:rsidRDefault="00FF2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50857" w14:textId="77777777" w:rsidR="00D9049A" w:rsidRDefault="00D9049A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D3FA5"/>
    <w:multiLevelType w:val="hybridMultilevel"/>
    <w:tmpl w:val="7584CB3C"/>
    <w:lvl w:ilvl="0" w:tplc="62667754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 w16cid:durableId="1272934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5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49A"/>
    <w:rsid w:val="00083044"/>
    <w:rsid w:val="001A3927"/>
    <w:rsid w:val="004E223F"/>
    <w:rsid w:val="00CA52F2"/>
    <w:rsid w:val="00D9049A"/>
    <w:rsid w:val="00FA591B"/>
    <w:rsid w:val="00FF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947A6"/>
  <w15:docId w15:val="{4E9F23DC-9489-4C08-AB7B-2F3F4702F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rPr>
      <w:vertAlign w:val="superscript"/>
    </w:rPr>
  </w:style>
  <w:style w:type="paragraph" w:styleId="a4">
    <w:name w:val="Normal (Web)"/>
    <w:basedOn w:val="a"/>
    <w:uiPriority w:val="9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5">
    <w:name w:val="List Paragraph"/>
    <w:basedOn w:val="a"/>
    <w:uiPriority w:val="34"/>
    <w:qFormat/>
    <w:pPr>
      <w:widowControl/>
      <w:spacing w:after="160" w:line="259" w:lineRule="auto"/>
      <w:ind w:left="720"/>
      <w:contextualSpacing/>
    </w:pPr>
    <w:rPr>
      <w:rFonts w:ascii="Calibri" w:eastAsia="Calibri" w:hAnsi="Calibri" w:cs="SimSun"/>
      <w:color w:val="auto"/>
      <w:sz w:val="22"/>
      <w:szCs w:val="22"/>
      <w:lang w:eastAsia="en-US" w:bidi="ar-SA"/>
    </w:rPr>
  </w:style>
  <w:style w:type="paragraph" w:styleId="a6">
    <w:name w:val="Balloon Text"/>
    <w:basedOn w:val="a"/>
    <w:link w:val="a7"/>
    <w:uiPriority w:val="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 /><Relationship Id="rId13" Type="http://schemas.openxmlformats.org/officeDocument/2006/relationships/theme" Target="theme/theme1.xml" /><Relationship Id="rId3" Type="http://schemas.openxmlformats.org/officeDocument/2006/relationships/numbering" Target="numbering.xml" /><Relationship Id="rId7" Type="http://schemas.openxmlformats.org/officeDocument/2006/relationships/footnotes" Target="footnotes.xml" /><Relationship Id="rId12" Type="http://schemas.openxmlformats.org/officeDocument/2006/relationships/fontTable" Target="fontTable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webSettings" Target="webSettings.xml" /><Relationship Id="rId11" Type="http://schemas.openxmlformats.org/officeDocument/2006/relationships/footer" Target="footer1.xml" /><Relationship Id="rId5" Type="http://schemas.openxmlformats.org/officeDocument/2006/relationships/settings" Target="settings.xml" /><Relationship Id="rId10" Type="http://schemas.openxmlformats.org/officeDocument/2006/relationships/header" Target="header1.xml" /><Relationship Id="rId4" Type="http://schemas.openxmlformats.org/officeDocument/2006/relationships/styles" Target="styles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451B30673CD74491B447324F44D682" ma:contentTypeVersion="1" ma:contentTypeDescription="Создание документа." ma:contentTypeScope="" ma:versionID="48140fc206055b2d8da1782166e97d7c">
  <xsd:schema xmlns:xsd="http://www.w3.org/2001/XMLSchema" xmlns:xs="http://www.w3.org/2001/XMLSchema" xmlns:p="http://schemas.microsoft.com/office/2006/metadata/properties" xmlns:ns2="6f0d7151-ade6-4af0-9673-0dd0c69f63a6" targetNamespace="http://schemas.microsoft.com/office/2006/metadata/properties" ma:root="true" ma:fieldsID="e651c8d30b1ba69a3b5e13f90b6b5c1a" ns2:_="">
    <xsd:import namespace="6f0d7151-ade6-4af0-9673-0dd0c69f63a6"/>
    <xsd:element name="properties">
      <xsd:complexType>
        <xsd:sequence>
          <xsd:element name="documentManagement">
            <xsd:complexType>
              <xsd:all>
                <xsd:element ref="ns2:Referenc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d7151-ade6-4af0-9673-0dd0c69f63a6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FCC2D-9697-4ADA-8DC6-3AF519AA08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BC8B34-30DF-4684-9911-3A7E2DCD2B03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6f0d7151-ade6-4af0-9673-0dd0c69f63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Горовой Виктор Владимирович</dc:creator>
  <cp:lastModifiedBy>Дарина Дидич</cp:lastModifiedBy>
  <cp:revision>2</cp:revision>
  <dcterms:created xsi:type="dcterms:W3CDTF">2026-04-10T00:37:00Z</dcterms:created>
  <dcterms:modified xsi:type="dcterms:W3CDTF">2026-04-10T00:37:00Z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3810fa7187794cfb87964c4ec2d7493d</vt:lpwstr>
  </property>
</Properties>
</file>