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44270" w14:textId="77777777" w:rsidR="00D35B3F" w:rsidRPr="00D35B3F" w:rsidRDefault="00D35B3F" w:rsidP="00D35B3F">
      <w:pPr>
        <w:spacing w:after="0" w:line="240" w:lineRule="auto"/>
        <w:jc w:val="center"/>
        <w:rPr>
          <w:lang w:val="ru-RU"/>
        </w:rPr>
      </w:pPr>
      <w:r w:rsidRPr="00D35B3F">
        <w:rPr>
          <w:lang w:val="ru-RU"/>
        </w:rPr>
        <w:t>Федеральное государственное казенное образовательное</w:t>
      </w:r>
    </w:p>
    <w:p w14:paraId="61E57842" w14:textId="77777777" w:rsidR="00D35B3F" w:rsidRPr="00D35B3F" w:rsidRDefault="00D35B3F" w:rsidP="00D35B3F">
      <w:pPr>
        <w:spacing w:after="0" w:line="240" w:lineRule="auto"/>
        <w:jc w:val="center"/>
        <w:rPr>
          <w:lang w:val="ru-RU"/>
        </w:rPr>
      </w:pPr>
      <w:r w:rsidRPr="00D35B3F">
        <w:rPr>
          <w:lang w:val="ru-RU"/>
        </w:rPr>
        <w:t>учреждение высшего образования</w:t>
      </w:r>
    </w:p>
    <w:p w14:paraId="3B43774F" w14:textId="77777777" w:rsidR="00D35B3F" w:rsidRPr="00D35B3F" w:rsidRDefault="00D35B3F" w:rsidP="00D35B3F">
      <w:pPr>
        <w:spacing w:after="0" w:line="240" w:lineRule="auto"/>
        <w:jc w:val="center"/>
        <w:rPr>
          <w:lang w:val="ru-RU"/>
        </w:rPr>
      </w:pPr>
      <w:r w:rsidRPr="00D35B3F">
        <w:rPr>
          <w:lang w:val="ru-RU"/>
        </w:rPr>
        <w:t>«Университет прокуратуры Российской Федерации»</w:t>
      </w:r>
    </w:p>
    <w:p w14:paraId="2644EACA" w14:textId="77777777" w:rsidR="00D35B3F" w:rsidRPr="00D35B3F" w:rsidRDefault="00D35B3F" w:rsidP="00D35B3F">
      <w:pPr>
        <w:spacing w:after="0" w:line="240" w:lineRule="auto"/>
        <w:jc w:val="center"/>
        <w:rPr>
          <w:lang w:val="ru-RU"/>
        </w:rPr>
      </w:pPr>
    </w:p>
    <w:p w14:paraId="3CF02019" w14:textId="77777777" w:rsidR="00D35B3F" w:rsidRPr="00D35B3F" w:rsidRDefault="00D35B3F" w:rsidP="00D35B3F">
      <w:pPr>
        <w:spacing w:after="0" w:line="240" w:lineRule="auto"/>
        <w:jc w:val="center"/>
        <w:rPr>
          <w:lang w:val="ru-RU"/>
        </w:rPr>
      </w:pPr>
      <w:r w:rsidRPr="00D35B3F">
        <w:rPr>
          <w:lang w:val="ru-RU"/>
        </w:rPr>
        <w:t>Дальневосточный юридический институт (филиал)</w:t>
      </w:r>
    </w:p>
    <w:p w14:paraId="630C3B51" w14:textId="77777777" w:rsidR="00D35B3F" w:rsidRPr="00D35B3F" w:rsidRDefault="00D35B3F" w:rsidP="00D35B3F">
      <w:pPr>
        <w:spacing w:after="0" w:line="240" w:lineRule="auto"/>
        <w:jc w:val="center"/>
        <w:rPr>
          <w:lang w:val="ru-RU"/>
        </w:rPr>
      </w:pPr>
    </w:p>
    <w:p w14:paraId="674C8344" w14:textId="77777777" w:rsidR="00D35B3F" w:rsidRPr="00D35B3F" w:rsidRDefault="00D35B3F" w:rsidP="00D35B3F">
      <w:pPr>
        <w:spacing w:after="0" w:line="240" w:lineRule="auto"/>
        <w:jc w:val="center"/>
        <w:rPr>
          <w:lang w:val="ru-RU"/>
        </w:rPr>
      </w:pPr>
      <w:r w:rsidRPr="00D35B3F">
        <w:rPr>
          <w:lang w:val="ru-RU"/>
        </w:rPr>
        <w:t>Юридический факультет</w:t>
      </w:r>
    </w:p>
    <w:p w14:paraId="7D54B6AB" w14:textId="3D891D96" w:rsidR="00D35B3F" w:rsidRPr="00D35B3F" w:rsidRDefault="00D35B3F" w:rsidP="00D35B3F">
      <w:pPr>
        <w:spacing w:after="0" w:line="240" w:lineRule="auto"/>
        <w:rPr>
          <w:lang w:val="ru-RU"/>
        </w:rPr>
      </w:pPr>
      <w:r>
        <w:rPr>
          <w:lang w:val="ru-RU"/>
        </w:rPr>
        <w:t xml:space="preserve">     </w:t>
      </w:r>
      <w:r w:rsidRPr="00D35B3F">
        <w:rPr>
          <w:lang w:val="ru-RU"/>
        </w:rPr>
        <w:t xml:space="preserve">Кафедра </w:t>
      </w:r>
      <w:r>
        <w:rPr>
          <w:lang w:val="ru-RU"/>
        </w:rPr>
        <w:t xml:space="preserve">общегуманитарных и социально-экономических дисциплин   </w:t>
      </w:r>
    </w:p>
    <w:p w14:paraId="35F0BEB3" w14:textId="77777777" w:rsidR="00D35B3F" w:rsidRPr="00D35B3F" w:rsidRDefault="00D35B3F" w:rsidP="00D35B3F">
      <w:pPr>
        <w:spacing w:after="0" w:line="240" w:lineRule="auto"/>
        <w:jc w:val="center"/>
        <w:rPr>
          <w:lang w:val="ru-RU"/>
        </w:rPr>
      </w:pPr>
    </w:p>
    <w:p w14:paraId="6FD0A72D" w14:textId="77777777" w:rsidR="00D35B3F" w:rsidRPr="00D35B3F" w:rsidRDefault="00D35B3F" w:rsidP="00D35B3F">
      <w:pPr>
        <w:spacing w:after="0" w:line="240" w:lineRule="auto"/>
        <w:jc w:val="center"/>
        <w:rPr>
          <w:lang w:val="ru-RU"/>
        </w:rPr>
      </w:pPr>
    </w:p>
    <w:p w14:paraId="4EF73E28" w14:textId="0AFB2E80" w:rsidR="00D35B3F" w:rsidRDefault="00D35B3F" w:rsidP="00D35B3F">
      <w:pPr>
        <w:spacing w:after="0" w:line="240" w:lineRule="auto"/>
        <w:jc w:val="center"/>
        <w:rPr>
          <w:lang w:val="ru-RU"/>
        </w:rPr>
      </w:pPr>
      <w:r>
        <w:rPr>
          <w:lang w:val="ru-RU"/>
        </w:rPr>
        <w:t>Статья</w:t>
      </w:r>
    </w:p>
    <w:p w14:paraId="4BB44A24" w14:textId="4F773563" w:rsidR="00511E55" w:rsidRPr="00D35B3F" w:rsidRDefault="00D35B3F" w:rsidP="00D35B3F">
      <w:pPr>
        <w:spacing w:after="0" w:line="240" w:lineRule="auto"/>
        <w:jc w:val="center"/>
        <w:rPr>
          <w:lang w:val="ru-RU"/>
        </w:rPr>
      </w:pPr>
      <w:r w:rsidRPr="00D35B3F">
        <w:rPr>
          <w:lang w:val="ru-RU"/>
        </w:rPr>
        <w:t>по дисциплине «</w:t>
      </w:r>
      <w:r>
        <w:rPr>
          <w:lang w:val="ru-RU"/>
        </w:rPr>
        <w:t>Экономика</w:t>
      </w:r>
      <w:r w:rsidRPr="00D35B3F">
        <w:rPr>
          <w:lang w:val="ru-RU"/>
        </w:rPr>
        <w:t>»</w:t>
      </w:r>
    </w:p>
    <w:p w14:paraId="530BDBB8" w14:textId="77777777" w:rsidR="00511E55" w:rsidRPr="00D35B3F" w:rsidRDefault="00511E55">
      <w:pPr>
        <w:spacing w:after="0" w:line="240" w:lineRule="auto"/>
        <w:jc w:val="center"/>
        <w:rPr>
          <w:lang w:val="ru-RU"/>
        </w:rPr>
      </w:pPr>
    </w:p>
    <w:p w14:paraId="08F90F51" w14:textId="77777777" w:rsidR="00511E55" w:rsidRPr="00D35B3F" w:rsidRDefault="00511E55">
      <w:pPr>
        <w:spacing w:after="0" w:line="240" w:lineRule="auto"/>
        <w:jc w:val="center"/>
        <w:rPr>
          <w:lang w:val="ru-RU"/>
        </w:rPr>
      </w:pPr>
    </w:p>
    <w:p w14:paraId="5B32C909" w14:textId="77777777" w:rsidR="00D35B3F" w:rsidRDefault="00D35B3F" w:rsidP="00D35B3F">
      <w:pPr>
        <w:spacing w:after="0" w:line="240" w:lineRule="auto"/>
        <w:jc w:val="center"/>
        <w:rPr>
          <w:lang w:val="ru-RU"/>
        </w:rPr>
      </w:pPr>
      <w:r w:rsidRPr="00D35B3F">
        <w:rPr>
          <w:lang w:val="ru-RU"/>
        </w:rPr>
        <w:t>на тему:</w:t>
      </w:r>
    </w:p>
    <w:p w14:paraId="23504C24" w14:textId="71CC4B86" w:rsidR="00D35B3F" w:rsidRPr="00D35B3F" w:rsidRDefault="00D35B3F" w:rsidP="00D35B3F">
      <w:pPr>
        <w:spacing w:after="0" w:line="240" w:lineRule="auto"/>
        <w:jc w:val="center"/>
        <w:rPr>
          <w:lang w:val="ru-RU"/>
        </w:rPr>
      </w:pPr>
      <w:r>
        <w:rPr>
          <w:lang w:val="ru-RU"/>
        </w:rPr>
        <w:t>Динамика грузооборота порта Корсаков</w:t>
      </w:r>
    </w:p>
    <w:p w14:paraId="1C6C2C33" w14:textId="49061E83" w:rsidR="00D35B3F" w:rsidRPr="00D35B3F" w:rsidRDefault="00D35B3F" w:rsidP="00D35B3F">
      <w:pPr>
        <w:spacing w:after="0" w:line="240" w:lineRule="auto"/>
        <w:jc w:val="center"/>
        <w:rPr>
          <w:lang w:val="ru-RU"/>
        </w:rPr>
      </w:pPr>
      <w:r>
        <w:rPr>
          <w:lang w:val="ru-RU"/>
        </w:rPr>
        <w:t xml:space="preserve">  </w:t>
      </w:r>
    </w:p>
    <w:p w14:paraId="7CE853A0" w14:textId="77777777" w:rsidR="00D35B3F" w:rsidRPr="00D35B3F" w:rsidRDefault="00D35B3F" w:rsidP="00D35B3F">
      <w:pPr>
        <w:spacing w:after="0" w:line="240" w:lineRule="auto"/>
        <w:jc w:val="center"/>
        <w:rPr>
          <w:lang w:val="ru-RU"/>
        </w:rPr>
      </w:pPr>
    </w:p>
    <w:p w14:paraId="01B86650" w14:textId="77777777" w:rsidR="00D35B3F" w:rsidRDefault="00D35B3F" w:rsidP="00D35B3F">
      <w:pPr>
        <w:spacing w:after="0" w:line="240" w:lineRule="auto"/>
        <w:jc w:val="right"/>
        <w:rPr>
          <w:lang w:val="ru-RU"/>
        </w:rPr>
      </w:pPr>
    </w:p>
    <w:p w14:paraId="342D075C" w14:textId="77777777" w:rsidR="00D35B3F" w:rsidRDefault="00D35B3F" w:rsidP="00D35B3F">
      <w:pPr>
        <w:spacing w:after="0" w:line="240" w:lineRule="auto"/>
        <w:jc w:val="right"/>
        <w:rPr>
          <w:lang w:val="ru-RU"/>
        </w:rPr>
      </w:pPr>
    </w:p>
    <w:p w14:paraId="55C67A29" w14:textId="77777777" w:rsidR="00D35B3F" w:rsidRDefault="00D35B3F" w:rsidP="00D35B3F">
      <w:pPr>
        <w:spacing w:after="0" w:line="240" w:lineRule="auto"/>
        <w:jc w:val="right"/>
        <w:rPr>
          <w:lang w:val="ru-RU"/>
        </w:rPr>
      </w:pPr>
    </w:p>
    <w:p w14:paraId="6C5F17E5" w14:textId="77777777" w:rsidR="00D35B3F" w:rsidRDefault="00D35B3F" w:rsidP="00D35B3F">
      <w:pPr>
        <w:spacing w:after="0" w:line="240" w:lineRule="auto"/>
        <w:jc w:val="right"/>
        <w:rPr>
          <w:lang w:val="ru-RU"/>
        </w:rPr>
      </w:pPr>
    </w:p>
    <w:p w14:paraId="71C3355E" w14:textId="77777777" w:rsidR="00D35B3F" w:rsidRDefault="00D35B3F" w:rsidP="00D35B3F">
      <w:pPr>
        <w:spacing w:after="0" w:line="240" w:lineRule="auto"/>
        <w:jc w:val="right"/>
        <w:rPr>
          <w:lang w:val="ru-RU"/>
        </w:rPr>
      </w:pPr>
    </w:p>
    <w:p w14:paraId="77DD1CAE" w14:textId="1724970B" w:rsidR="00D35B3F" w:rsidRPr="00D35B3F" w:rsidRDefault="00D35B3F" w:rsidP="00D35B3F">
      <w:pPr>
        <w:spacing w:after="0" w:line="240" w:lineRule="auto"/>
        <w:jc w:val="right"/>
        <w:rPr>
          <w:lang w:val="ru-RU"/>
        </w:rPr>
      </w:pPr>
      <w:r w:rsidRPr="00D35B3F">
        <w:rPr>
          <w:lang w:val="ru-RU"/>
        </w:rPr>
        <w:t>Выполнил:</w:t>
      </w:r>
    </w:p>
    <w:p w14:paraId="78A22D47" w14:textId="77777777" w:rsidR="00D35B3F" w:rsidRPr="00D35B3F" w:rsidRDefault="00D35B3F" w:rsidP="00D35B3F">
      <w:pPr>
        <w:spacing w:after="0" w:line="240" w:lineRule="auto"/>
        <w:jc w:val="right"/>
        <w:rPr>
          <w:lang w:val="ru-RU"/>
        </w:rPr>
      </w:pPr>
      <w:r w:rsidRPr="00D35B3F">
        <w:rPr>
          <w:lang w:val="ru-RU"/>
        </w:rPr>
        <w:t xml:space="preserve">студент 1 курса юридического факультета группы 5-40.05.04-25-1 </w:t>
      </w:r>
    </w:p>
    <w:p w14:paraId="00AFF68E" w14:textId="77777777" w:rsidR="00D35B3F" w:rsidRPr="00D35B3F" w:rsidRDefault="00D35B3F" w:rsidP="00D35B3F">
      <w:pPr>
        <w:spacing w:after="0" w:line="240" w:lineRule="auto"/>
        <w:jc w:val="right"/>
        <w:rPr>
          <w:lang w:val="ru-RU"/>
        </w:rPr>
      </w:pPr>
      <w:r w:rsidRPr="00D35B3F">
        <w:rPr>
          <w:lang w:val="ru-RU"/>
        </w:rPr>
        <w:t>очной формы обучения</w:t>
      </w:r>
    </w:p>
    <w:p w14:paraId="79925F81" w14:textId="77777777" w:rsidR="00D35B3F" w:rsidRPr="00D35B3F" w:rsidRDefault="00D35B3F" w:rsidP="00D35B3F">
      <w:pPr>
        <w:spacing w:after="0" w:line="240" w:lineRule="auto"/>
        <w:jc w:val="right"/>
        <w:rPr>
          <w:lang w:val="ru-RU"/>
        </w:rPr>
      </w:pPr>
      <w:r w:rsidRPr="00D35B3F">
        <w:rPr>
          <w:lang w:val="ru-RU"/>
        </w:rPr>
        <w:t>Джалилов Руслан Закиржонович</w:t>
      </w:r>
    </w:p>
    <w:p w14:paraId="7F66C15C" w14:textId="77777777" w:rsidR="00D35B3F" w:rsidRPr="00D35B3F" w:rsidRDefault="00D35B3F" w:rsidP="00D35B3F">
      <w:pPr>
        <w:spacing w:after="0" w:line="240" w:lineRule="auto"/>
        <w:jc w:val="right"/>
        <w:rPr>
          <w:lang w:val="ru-RU"/>
        </w:rPr>
      </w:pPr>
    </w:p>
    <w:p w14:paraId="2414E893" w14:textId="77777777" w:rsidR="00D35B3F" w:rsidRPr="00D35B3F" w:rsidRDefault="00D35B3F" w:rsidP="00825FCA">
      <w:pPr>
        <w:spacing w:after="0" w:line="240" w:lineRule="auto"/>
        <w:jc w:val="right"/>
        <w:rPr>
          <w:lang w:val="ru-RU"/>
        </w:rPr>
      </w:pPr>
      <w:r w:rsidRPr="00D35B3F">
        <w:rPr>
          <w:lang w:val="ru-RU"/>
        </w:rPr>
        <w:t>Научный руководитель:</w:t>
      </w:r>
    </w:p>
    <w:p w14:paraId="512B1682" w14:textId="77777777" w:rsidR="00D35B3F" w:rsidRPr="00D35B3F" w:rsidRDefault="00D35B3F" w:rsidP="00825FCA">
      <w:pPr>
        <w:spacing w:after="0" w:line="240" w:lineRule="auto"/>
        <w:jc w:val="right"/>
        <w:rPr>
          <w:lang w:val="ru-RU"/>
        </w:rPr>
      </w:pPr>
      <w:r w:rsidRPr="00D35B3F">
        <w:rPr>
          <w:lang w:val="ru-RU"/>
        </w:rPr>
        <w:t xml:space="preserve">заведующий кафедрой </w:t>
      </w:r>
    </w:p>
    <w:p w14:paraId="02994E7A" w14:textId="77777777" w:rsidR="00825FCA" w:rsidRDefault="00825FCA" w:rsidP="00825FCA">
      <w:pPr>
        <w:spacing w:after="0" w:line="240" w:lineRule="auto"/>
        <w:jc w:val="right"/>
        <w:rPr>
          <w:lang w:val="ru-RU"/>
        </w:rPr>
      </w:pPr>
      <w:r>
        <w:rPr>
          <w:lang w:val="ru-RU"/>
        </w:rPr>
        <w:t xml:space="preserve">                                   </w:t>
      </w:r>
      <w:r w:rsidR="00D35B3F" w:rsidRPr="00D35B3F">
        <w:rPr>
          <w:lang w:val="ru-RU"/>
        </w:rPr>
        <w:t>общегуманитарных и социально-экономических дисциплин</w:t>
      </w:r>
    </w:p>
    <w:p w14:paraId="7133420C" w14:textId="517275DF" w:rsidR="00825FCA" w:rsidRDefault="00825FCA" w:rsidP="00825FCA">
      <w:pPr>
        <w:spacing w:after="0" w:line="240" w:lineRule="auto"/>
        <w:jc w:val="right"/>
        <w:rPr>
          <w:lang w:val="ru-RU"/>
        </w:rPr>
      </w:pPr>
      <w:r>
        <w:rPr>
          <w:lang w:val="ru-RU"/>
        </w:rPr>
        <w:t>кандидат философских наук,доцент</w:t>
      </w:r>
    </w:p>
    <w:p w14:paraId="55CD585D" w14:textId="50B8EB67" w:rsidR="00511E55" w:rsidRPr="00D35B3F" w:rsidRDefault="00825FCA" w:rsidP="00825FCA">
      <w:pPr>
        <w:spacing w:after="0" w:line="240" w:lineRule="auto"/>
        <w:jc w:val="right"/>
        <w:rPr>
          <w:lang w:val="ru-RU"/>
        </w:rPr>
      </w:pPr>
      <w:r>
        <w:rPr>
          <w:lang w:val="ru-RU"/>
        </w:rPr>
        <w:t>Ерохин Алексей Константинович</w:t>
      </w:r>
      <w:r w:rsidR="00D35B3F" w:rsidRPr="00D35B3F">
        <w:rPr>
          <w:lang w:val="ru-RU"/>
        </w:rPr>
        <w:t xml:space="preserve">  </w:t>
      </w:r>
    </w:p>
    <w:p w14:paraId="41C3BBA1" w14:textId="77777777" w:rsidR="00511E55" w:rsidRPr="00D35B3F" w:rsidRDefault="00511E55">
      <w:pPr>
        <w:spacing w:after="0" w:line="240" w:lineRule="auto"/>
        <w:jc w:val="center"/>
        <w:rPr>
          <w:lang w:val="ru-RU"/>
        </w:rPr>
      </w:pPr>
    </w:p>
    <w:p w14:paraId="0D01F325" w14:textId="77777777" w:rsidR="00511E55" w:rsidRPr="00D35B3F" w:rsidRDefault="00511E55">
      <w:pPr>
        <w:spacing w:after="0" w:line="240" w:lineRule="auto"/>
        <w:jc w:val="center"/>
        <w:rPr>
          <w:lang w:val="ru-RU"/>
        </w:rPr>
      </w:pPr>
    </w:p>
    <w:p w14:paraId="63EBB430" w14:textId="77777777" w:rsidR="00511E55" w:rsidRPr="00D35B3F" w:rsidRDefault="00511E55">
      <w:pPr>
        <w:spacing w:after="0" w:line="240" w:lineRule="auto"/>
        <w:jc w:val="center"/>
        <w:rPr>
          <w:lang w:val="ru-RU"/>
        </w:rPr>
      </w:pPr>
    </w:p>
    <w:p w14:paraId="646C8C59" w14:textId="77777777" w:rsidR="00511E55" w:rsidRDefault="00511E55">
      <w:pPr>
        <w:spacing w:after="0" w:line="240" w:lineRule="auto"/>
        <w:jc w:val="center"/>
        <w:rPr>
          <w:lang w:val="ru-RU"/>
        </w:rPr>
      </w:pPr>
    </w:p>
    <w:p w14:paraId="7F5F85EC" w14:textId="77777777" w:rsidR="00D35B3F" w:rsidRPr="00D35B3F" w:rsidRDefault="00D35B3F">
      <w:pPr>
        <w:spacing w:after="0" w:line="240" w:lineRule="auto"/>
        <w:jc w:val="center"/>
        <w:rPr>
          <w:lang w:val="ru-RU"/>
        </w:rPr>
      </w:pPr>
    </w:p>
    <w:p w14:paraId="3351164A" w14:textId="77777777" w:rsidR="00511E55" w:rsidRPr="00D35B3F" w:rsidRDefault="00511E55">
      <w:pPr>
        <w:spacing w:after="0" w:line="240" w:lineRule="auto"/>
        <w:jc w:val="center"/>
        <w:rPr>
          <w:lang w:val="ru-RU"/>
        </w:rPr>
      </w:pPr>
    </w:p>
    <w:p w14:paraId="48D0D432" w14:textId="77777777" w:rsidR="00511E55" w:rsidRPr="00D35B3F" w:rsidRDefault="00511E55">
      <w:pPr>
        <w:spacing w:after="0" w:line="240" w:lineRule="auto"/>
        <w:jc w:val="center"/>
        <w:rPr>
          <w:lang w:val="ru-RU"/>
        </w:rPr>
      </w:pPr>
    </w:p>
    <w:p w14:paraId="0E696EAA" w14:textId="77777777" w:rsidR="00511E55" w:rsidRPr="00D35B3F" w:rsidRDefault="00511E55">
      <w:pPr>
        <w:spacing w:after="0" w:line="240" w:lineRule="auto"/>
        <w:jc w:val="center"/>
        <w:rPr>
          <w:lang w:val="ru-RU"/>
        </w:rPr>
      </w:pPr>
    </w:p>
    <w:p w14:paraId="7DC723D4" w14:textId="77777777" w:rsidR="00511E55" w:rsidRPr="00D35B3F" w:rsidRDefault="00511E55">
      <w:pPr>
        <w:spacing w:after="0" w:line="240" w:lineRule="auto"/>
        <w:jc w:val="center"/>
        <w:rPr>
          <w:lang w:val="ru-RU"/>
        </w:rPr>
      </w:pPr>
    </w:p>
    <w:p w14:paraId="2628C56B" w14:textId="77777777" w:rsidR="00511E55" w:rsidRPr="00D35B3F" w:rsidRDefault="00000000">
      <w:pPr>
        <w:jc w:val="center"/>
        <w:rPr>
          <w:lang w:val="ru-RU"/>
        </w:rPr>
      </w:pPr>
      <w:r w:rsidRPr="00D35B3F">
        <w:rPr>
          <w:lang w:val="ru-RU"/>
        </w:rPr>
        <w:t>Владивосток 2026г.</w:t>
      </w:r>
    </w:p>
    <w:p w14:paraId="052A5B36" w14:textId="77777777" w:rsidR="00511E55" w:rsidRPr="00D35B3F" w:rsidRDefault="00000000">
      <w:pPr>
        <w:rPr>
          <w:lang w:val="ru-RU"/>
        </w:rPr>
      </w:pPr>
      <w:r w:rsidRPr="00D35B3F">
        <w:rPr>
          <w:lang w:val="ru-RU"/>
        </w:rPr>
        <w:br w:type="page"/>
      </w:r>
    </w:p>
    <w:p w14:paraId="44F9E914" w14:textId="77777777" w:rsidR="00511E55" w:rsidRPr="00D35B3F" w:rsidRDefault="00511E55">
      <w:pPr>
        <w:rPr>
          <w:lang w:val="ru-RU"/>
        </w:rPr>
        <w:sectPr w:rsidR="00511E55" w:rsidRPr="00D35B3F">
          <w:pgSz w:w="11905" w:h="16837"/>
          <w:pgMar w:top="1133" w:right="566" w:bottom="1133" w:left="1700" w:header="720" w:footer="720" w:gutter="0"/>
          <w:cols w:space="720"/>
        </w:sectPr>
      </w:pPr>
    </w:p>
    <w:p w14:paraId="426F8287" w14:textId="77777777" w:rsidR="00511E55" w:rsidRPr="00D35B3F" w:rsidRDefault="00000000">
      <w:pPr>
        <w:spacing w:after="240"/>
        <w:jc w:val="center"/>
        <w:rPr>
          <w:lang w:val="ru-RU"/>
        </w:rPr>
      </w:pPr>
      <w:r w:rsidRPr="00D35B3F">
        <w:rPr>
          <w:rFonts w:eastAsia="Times New Roman"/>
          <w:b/>
          <w:bCs/>
          <w:caps/>
          <w:lang w:val="ru-RU"/>
        </w:rPr>
        <w:lastRenderedPageBreak/>
        <w:t>СОДЕРЖАНИЕ</w:t>
      </w:r>
    </w:p>
    <w:p w14:paraId="4AEF3BDA" w14:textId="77777777" w:rsidR="00D35B3F" w:rsidRDefault="00000000">
      <w:pPr>
        <w:pStyle w:val="10"/>
        <w:tabs>
          <w:tab w:val="right" w:leader="dot" w:pos="9629"/>
        </w:tabs>
        <w:rPr>
          <w:noProof/>
        </w:rPr>
      </w:pPr>
      <w:r>
        <w:fldChar w:fldCharType="begin"/>
      </w:r>
      <w:r>
        <w:instrText>TOC \o 1-9 \h \z \u</w:instrText>
      </w:r>
      <w:r>
        <w:fldChar w:fldCharType="separate"/>
      </w:r>
      <w:hyperlink w:anchor="_Toc226764640" w:history="1">
        <w:r w:rsidR="00D35B3F" w:rsidRPr="00F774E1">
          <w:rPr>
            <w:rStyle w:val="a4"/>
            <w:noProof/>
          </w:rPr>
          <w:t>ВВЕДЕНИЕ</w:t>
        </w:r>
        <w:r w:rsidR="00D35B3F">
          <w:rPr>
            <w:noProof/>
            <w:webHidden/>
          </w:rPr>
          <w:tab/>
        </w:r>
        <w:r w:rsidR="00D35B3F">
          <w:rPr>
            <w:noProof/>
            <w:webHidden/>
          </w:rPr>
          <w:fldChar w:fldCharType="begin"/>
        </w:r>
        <w:r w:rsidR="00D35B3F">
          <w:rPr>
            <w:noProof/>
            <w:webHidden/>
          </w:rPr>
          <w:instrText xml:space="preserve"> PAGEREF _Toc226764640 \h </w:instrText>
        </w:r>
        <w:r w:rsidR="00D35B3F">
          <w:rPr>
            <w:noProof/>
            <w:webHidden/>
          </w:rPr>
        </w:r>
        <w:r w:rsidR="00D35B3F">
          <w:rPr>
            <w:noProof/>
            <w:webHidden/>
          </w:rPr>
          <w:fldChar w:fldCharType="separate"/>
        </w:r>
        <w:r w:rsidR="00D35B3F">
          <w:rPr>
            <w:noProof/>
            <w:webHidden/>
          </w:rPr>
          <w:t>1</w:t>
        </w:r>
        <w:r w:rsidR="00D35B3F">
          <w:rPr>
            <w:noProof/>
            <w:webHidden/>
          </w:rPr>
          <w:fldChar w:fldCharType="end"/>
        </w:r>
      </w:hyperlink>
    </w:p>
    <w:p w14:paraId="56D7E69F" w14:textId="77777777" w:rsidR="00D35B3F" w:rsidRDefault="00D35B3F">
      <w:pPr>
        <w:pStyle w:val="10"/>
        <w:tabs>
          <w:tab w:val="right" w:leader="dot" w:pos="9629"/>
        </w:tabs>
        <w:rPr>
          <w:noProof/>
        </w:rPr>
      </w:pPr>
      <w:hyperlink w:anchor="_Toc226764641" w:history="1">
        <w:r w:rsidRPr="00F774E1">
          <w:rPr>
            <w:rStyle w:val="a4"/>
            <w:noProof/>
          </w:rPr>
          <w:t>ГЛАВА 1 ДИНАМИКА ГРУЗООБОРОТА ПОРТА</w:t>
        </w:r>
        <w:r>
          <w:rPr>
            <w:noProof/>
            <w:webHidden/>
          </w:rPr>
          <w:tab/>
        </w:r>
        <w:r>
          <w:rPr>
            <w:noProof/>
            <w:webHidden/>
          </w:rPr>
          <w:fldChar w:fldCharType="begin"/>
        </w:r>
        <w:r>
          <w:rPr>
            <w:noProof/>
            <w:webHidden/>
          </w:rPr>
          <w:instrText xml:space="preserve"> PAGEREF _Toc226764641 \h </w:instrText>
        </w:r>
        <w:r>
          <w:rPr>
            <w:noProof/>
            <w:webHidden/>
          </w:rPr>
        </w:r>
        <w:r>
          <w:rPr>
            <w:noProof/>
            <w:webHidden/>
          </w:rPr>
          <w:fldChar w:fldCharType="separate"/>
        </w:r>
        <w:r>
          <w:rPr>
            <w:noProof/>
            <w:webHidden/>
          </w:rPr>
          <w:t>1</w:t>
        </w:r>
        <w:r>
          <w:rPr>
            <w:noProof/>
            <w:webHidden/>
          </w:rPr>
          <w:fldChar w:fldCharType="end"/>
        </w:r>
      </w:hyperlink>
    </w:p>
    <w:p w14:paraId="33B74617" w14:textId="77777777" w:rsidR="00D35B3F" w:rsidRDefault="00D35B3F">
      <w:pPr>
        <w:pStyle w:val="20"/>
        <w:tabs>
          <w:tab w:val="right" w:leader="dot" w:pos="9629"/>
        </w:tabs>
        <w:rPr>
          <w:noProof/>
        </w:rPr>
      </w:pPr>
      <w:hyperlink w:anchor="_Toc226764642" w:history="1">
        <w:r w:rsidRPr="00F774E1">
          <w:rPr>
            <w:rStyle w:val="a4"/>
            <w:noProof/>
          </w:rPr>
          <w:t>1.1. Общий объем грузопереработки порта Корсаков: тенденции 2019-2023 гг.</w:t>
        </w:r>
        <w:r>
          <w:rPr>
            <w:noProof/>
            <w:webHidden/>
          </w:rPr>
          <w:tab/>
        </w:r>
        <w:r>
          <w:rPr>
            <w:noProof/>
            <w:webHidden/>
          </w:rPr>
          <w:fldChar w:fldCharType="begin"/>
        </w:r>
        <w:r>
          <w:rPr>
            <w:noProof/>
            <w:webHidden/>
          </w:rPr>
          <w:instrText xml:space="preserve"> PAGEREF _Toc226764642 \h </w:instrText>
        </w:r>
        <w:r>
          <w:rPr>
            <w:noProof/>
            <w:webHidden/>
          </w:rPr>
        </w:r>
        <w:r>
          <w:rPr>
            <w:noProof/>
            <w:webHidden/>
          </w:rPr>
          <w:fldChar w:fldCharType="separate"/>
        </w:r>
        <w:r>
          <w:rPr>
            <w:noProof/>
            <w:webHidden/>
          </w:rPr>
          <w:t>1</w:t>
        </w:r>
        <w:r>
          <w:rPr>
            <w:noProof/>
            <w:webHidden/>
          </w:rPr>
          <w:fldChar w:fldCharType="end"/>
        </w:r>
      </w:hyperlink>
    </w:p>
    <w:p w14:paraId="1908C284" w14:textId="77777777" w:rsidR="00D35B3F" w:rsidRDefault="00D35B3F">
      <w:pPr>
        <w:pStyle w:val="20"/>
        <w:tabs>
          <w:tab w:val="right" w:leader="dot" w:pos="9629"/>
        </w:tabs>
        <w:rPr>
          <w:noProof/>
        </w:rPr>
      </w:pPr>
      <w:hyperlink w:anchor="_Toc226764643" w:history="1">
        <w:r w:rsidRPr="00F774E1">
          <w:rPr>
            <w:rStyle w:val="a4"/>
            <w:noProof/>
          </w:rPr>
          <w:t>1.2. Структура грузооборота: анализ динамики по основным номенклатурным группам (уголь, лесоматериалы, нефтепродукты и др.)</w:t>
        </w:r>
        <w:r>
          <w:rPr>
            <w:noProof/>
            <w:webHidden/>
          </w:rPr>
          <w:tab/>
        </w:r>
        <w:r>
          <w:rPr>
            <w:noProof/>
            <w:webHidden/>
          </w:rPr>
          <w:fldChar w:fldCharType="begin"/>
        </w:r>
        <w:r>
          <w:rPr>
            <w:noProof/>
            <w:webHidden/>
          </w:rPr>
          <w:instrText xml:space="preserve"> PAGEREF _Toc226764643 \h </w:instrText>
        </w:r>
        <w:r>
          <w:rPr>
            <w:noProof/>
            <w:webHidden/>
          </w:rPr>
        </w:r>
        <w:r>
          <w:rPr>
            <w:noProof/>
            <w:webHidden/>
          </w:rPr>
          <w:fldChar w:fldCharType="separate"/>
        </w:r>
        <w:r>
          <w:rPr>
            <w:noProof/>
            <w:webHidden/>
          </w:rPr>
          <w:t>1</w:t>
        </w:r>
        <w:r>
          <w:rPr>
            <w:noProof/>
            <w:webHidden/>
          </w:rPr>
          <w:fldChar w:fldCharType="end"/>
        </w:r>
      </w:hyperlink>
    </w:p>
    <w:p w14:paraId="001AF37C" w14:textId="77777777" w:rsidR="00D35B3F" w:rsidRDefault="00D35B3F">
      <w:pPr>
        <w:pStyle w:val="20"/>
        <w:tabs>
          <w:tab w:val="right" w:leader="dot" w:pos="9629"/>
        </w:tabs>
        <w:rPr>
          <w:noProof/>
        </w:rPr>
      </w:pPr>
      <w:hyperlink w:anchor="_Toc226764644" w:history="1">
        <w:r w:rsidRPr="00F774E1">
          <w:rPr>
            <w:rStyle w:val="a4"/>
            <w:noProof/>
          </w:rPr>
          <w:t>1.3. Сезонные и годовые колебания грузопотоков: статистический анализ</w:t>
        </w:r>
        <w:r>
          <w:rPr>
            <w:noProof/>
            <w:webHidden/>
          </w:rPr>
          <w:tab/>
        </w:r>
        <w:r>
          <w:rPr>
            <w:noProof/>
            <w:webHidden/>
          </w:rPr>
          <w:fldChar w:fldCharType="begin"/>
        </w:r>
        <w:r>
          <w:rPr>
            <w:noProof/>
            <w:webHidden/>
          </w:rPr>
          <w:instrText xml:space="preserve"> PAGEREF _Toc226764644 \h </w:instrText>
        </w:r>
        <w:r>
          <w:rPr>
            <w:noProof/>
            <w:webHidden/>
          </w:rPr>
        </w:r>
        <w:r>
          <w:rPr>
            <w:noProof/>
            <w:webHidden/>
          </w:rPr>
          <w:fldChar w:fldCharType="separate"/>
        </w:r>
        <w:r>
          <w:rPr>
            <w:noProof/>
            <w:webHidden/>
          </w:rPr>
          <w:t>1</w:t>
        </w:r>
        <w:r>
          <w:rPr>
            <w:noProof/>
            <w:webHidden/>
          </w:rPr>
          <w:fldChar w:fldCharType="end"/>
        </w:r>
      </w:hyperlink>
    </w:p>
    <w:p w14:paraId="24FB91FF" w14:textId="77777777" w:rsidR="00D35B3F" w:rsidRDefault="00D35B3F">
      <w:pPr>
        <w:pStyle w:val="10"/>
        <w:tabs>
          <w:tab w:val="right" w:leader="dot" w:pos="9629"/>
        </w:tabs>
        <w:rPr>
          <w:noProof/>
        </w:rPr>
      </w:pPr>
      <w:hyperlink w:anchor="_Toc226764645" w:history="1">
        <w:r w:rsidRPr="00F774E1">
          <w:rPr>
            <w:rStyle w:val="a4"/>
            <w:noProof/>
          </w:rPr>
          <w:t>ГЛАВА 2 ФАКТОРЫ РОСТА И РАЗВИТИЯ</w:t>
        </w:r>
        <w:r>
          <w:rPr>
            <w:noProof/>
            <w:webHidden/>
          </w:rPr>
          <w:tab/>
        </w:r>
        <w:r>
          <w:rPr>
            <w:noProof/>
            <w:webHidden/>
          </w:rPr>
          <w:fldChar w:fldCharType="begin"/>
        </w:r>
        <w:r>
          <w:rPr>
            <w:noProof/>
            <w:webHidden/>
          </w:rPr>
          <w:instrText xml:space="preserve"> PAGEREF _Toc226764645 \h </w:instrText>
        </w:r>
        <w:r>
          <w:rPr>
            <w:noProof/>
            <w:webHidden/>
          </w:rPr>
        </w:r>
        <w:r>
          <w:rPr>
            <w:noProof/>
            <w:webHidden/>
          </w:rPr>
          <w:fldChar w:fldCharType="separate"/>
        </w:r>
        <w:r>
          <w:rPr>
            <w:noProof/>
            <w:webHidden/>
          </w:rPr>
          <w:t>1</w:t>
        </w:r>
        <w:r>
          <w:rPr>
            <w:noProof/>
            <w:webHidden/>
          </w:rPr>
          <w:fldChar w:fldCharType="end"/>
        </w:r>
      </w:hyperlink>
    </w:p>
    <w:p w14:paraId="621CB515" w14:textId="77777777" w:rsidR="00D35B3F" w:rsidRDefault="00D35B3F">
      <w:pPr>
        <w:pStyle w:val="20"/>
        <w:tabs>
          <w:tab w:val="right" w:leader="dot" w:pos="9629"/>
        </w:tabs>
        <w:rPr>
          <w:noProof/>
        </w:rPr>
      </w:pPr>
      <w:hyperlink w:anchor="_Toc226764646" w:history="1">
        <w:r w:rsidRPr="00F774E1">
          <w:rPr>
            <w:rStyle w:val="a4"/>
            <w:noProof/>
          </w:rPr>
          <w:t>2.1. Влияние инвестиций в портовую инфраструктуру на увеличение грузооборота</w:t>
        </w:r>
        <w:r>
          <w:rPr>
            <w:noProof/>
            <w:webHidden/>
          </w:rPr>
          <w:tab/>
        </w:r>
        <w:r>
          <w:rPr>
            <w:noProof/>
            <w:webHidden/>
          </w:rPr>
          <w:fldChar w:fldCharType="begin"/>
        </w:r>
        <w:r>
          <w:rPr>
            <w:noProof/>
            <w:webHidden/>
          </w:rPr>
          <w:instrText xml:space="preserve"> PAGEREF _Toc226764646 \h </w:instrText>
        </w:r>
        <w:r>
          <w:rPr>
            <w:noProof/>
            <w:webHidden/>
          </w:rPr>
        </w:r>
        <w:r>
          <w:rPr>
            <w:noProof/>
            <w:webHidden/>
          </w:rPr>
          <w:fldChar w:fldCharType="separate"/>
        </w:r>
        <w:r>
          <w:rPr>
            <w:noProof/>
            <w:webHidden/>
          </w:rPr>
          <w:t>1</w:t>
        </w:r>
        <w:r>
          <w:rPr>
            <w:noProof/>
            <w:webHidden/>
          </w:rPr>
          <w:fldChar w:fldCharType="end"/>
        </w:r>
      </w:hyperlink>
    </w:p>
    <w:p w14:paraId="025BDFDE" w14:textId="77777777" w:rsidR="00D35B3F" w:rsidRDefault="00D35B3F">
      <w:pPr>
        <w:pStyle w:val="20"/>
        <w:tabs>
          <w:tab w:val="right" w:leader="dot" w:pos="9629"/>
        </w:tabs>
        <w:rPr>
          <w:noProof/>
        </w:rPr>
      </w:pPr>
      <w:hyperlink w:anchor="_Toc226764647" w:history="1">
        <w:r w:rsidRPr="00F774E1">
          <w:rPr>
            <w:rStyle w:val="a4"/>
            <w:noProof/>
          </w:rPr>
          <w:t>2.2. Роль порта Корсаков в международных логистических цепочках АТР: статистика и примеры</w:t>
        </w:r>
        <w:r>
          <w:rPr>
            <w:noProof/>
            <w:webHidden/>
          </w:rPr>
          <w:tab/>
        </w:r>
        <w:r>
          <w:rPr>
            <w:noProof/>
            <w:webHidden/>
          </w:rPr>
          <w:fldChar w:fldCharType="begin"/>
        </w:r>
        <w:r>
          <w:rPr>
            <w:noProof/>
            <w:webHidden/>
          </w:rPr>
          <w:instrText xml:space="preserve"> PAGEREF _Toc226764647 \h </w:instrText>
        </w:r>
        <w:r>
          <w:rPr>
            <w:noProof/>
            <w:webHidden/>
          </w:rPr>
        </w:r>
        <w:r>
          <w:rPr>
            <w:noProof/>
            <w:webHidden/>
          </w:rPr>
          <w:fldChar w:fldCharType="separate"/>
        </w:r>
        <w:r>
          <w:rPr>
            <w:noProof/>
            <w:webHidden/>
          </w:rPr>
          <w:t>1</w:t>
        </w:r>
        <w:r>
          <w:rPr>
            <w:noProof/>
            <w:webHidden/>
          </w:rPr>
          <w:fldChar w:fldCharType="end"/>
        </w:r>
      </w:hyperlink>
    </w:p>
    <w:p w14:paraId="19A7F715" w14:textId="77777777" w:rsidR="00D35B3F" w:rsidRDefault="00D35B3F">
      <w:pPr>
        <w:pStyle w:val="20"/>
        <w:tabs>
          <w:tab w:val="right" w:leader="dot" w:pos="9629"/>
        </w:tabs>
        <w:rPr>
          <w:noProof/>
        </w:rPr>
      </w:pPr>
      <w:hyperlink w:anchor="_Toc226764648" w:history="1">
        <w:r w:rsidRPr="00F774E1">
          <w:rPr>
            <w:rStyle w:val="a4"/>
            <w:noProof/>
          </w:rPr>
          <w:t>2.3. Анализ влияния развития смежных отраслей (добыча сырья, судоходство) на грузопоток порта</w:t>
        </w:r>
        <w:r>
          <w:rPr>
            <w:noProof/>
            <w:webHidden/>
          </w:rPr>
          <w:tab/>
        </w:r>
        <w:r>
          <w:rPr>
            <w:noProof/>
            <w:webHidden/>
          </w:rPr>
          <w:fldChar w:fldCharType="begin"/>
        </w:r>
        <w:r>
          <w:rPr>
            <w:noProof/>
            <w:webHidden/>
          </w:rPr>
          <w:instrText xml:space="preserve"> PAGEREF _Toc226764648 \h </w:instrText>
        </w:r>
        <w:r>
          <w:rPr>
            <w:noProof/>
            <w:webHidden/>
          </w:rPr>
        </w:r>
        <w:r>
          <w:rPr>
            <w:noProof/>
            <w:webHidden/>
          </w:rPr>
          <w:fldChar w:fldCharType="separate"/>
        </w:r>
        <w:r>
          <w:rPr>
            <w:noProof/>
            <w:webHidden/>
          </w:rPr>
          <w:t>1</w:t>
        </w:r>
        <w:r>
          <w:rPr>
            <w:noProof/>
            <w:webHidden/>
          </w:rPr>
          <w:fldChar w:fldCharType="end"/>
        </w:r>
      </w:hyperlink>
    </w:p>
    <w:p w14:paraId="5BBE9348" w14:textId="77777777" w:rsidR="00D35B3F" w:rsidRDefault="00D35B3F">
      <w:pPr>
        <w:pStyle w:val="10"/>
        <w:tabs>
          <w:tab w:val="right" w:leader="dot" w:pos="9629"/>
        </w:tabs>
        <w:rPr>
          <w:noProof/>
        </w:rPr>
      </w:pPr>
      <w:hyperlink w:anchor="_Toc226764649" w:history="1">
        <w:r w:rsidRPr="00F774E1">
          <w:rPr>
            <w:rStyle w:val="a4"/>
            <w:noProof/>
          </w:rPr>
          <w:t>ГЛАВА 3 АНАЛИЗ РИСКОВ И ВОЗМОЖНОСТЕЙ</w:t>
        </w:r>
        <w:r>
          <w:rPr>
            <w:noProof/>
            <w:webHidden/>
          </w:rPr>
          <w:tab/>
        </w:r>
        <w:r>
          <w:rPr>
            <w:noProof/>
            <w:webHidden/>
          </w:rPr>
          <w:fldChar w:fldCharType="begin"/>
        </w:r>
        <w:r>
          <w:rPr>
            <w:noProof/>
            <w:webHidden/>
          </w:rPr>
          <w:instrText xml:space="preserve"> PAGEREF _Toc226764649 \h </w:instrText>
        </w:r>
        <w:r>
          <w:rPr>
            <w:noProof/>
            <w:webHidden/>
          </w:rPr>
        </w:r>
        <w:r>
          <w:rPr>
            <w:noProof/>
            <w:webHidden/>
          </w:rPr>
          <w:fldChar w:fldCharType="separate"/>
        </w:r>
        <w:r>
          <w:rPr>
            <w:noProof/>
            <w:webHidden/>
          </w:rPr>
          <w:t>1</w:t>
        </w:r>
        <w:r>
          <w:rPr>
            <w:noProof/>
            <w:webHidden/>
          </w:rPr>
          <w:fldChar w:fldCharType="end"/>
        </w:r>
      </w:hyperlink>
    </w:p>
    <w:p w14:paraId="392519E8" w14:textId="77777777" w:rsidR="00D35B3F" w:rsidRDefault="00D35B3F">
      <w:pPr>
        <w:pStyle w:val="20"/>
        <w:tabs>
          <w:tab w:val="right" w:leader="dot" w:pos="9629"/>
        </w:tabs>
        <w:rPr>
          <w:noProof/>
        </w:rPr>
      </w:pPr>
      <w:hyperlink w:anchor="_Toc226764650" w:history="1">
        <w:r w:rsidRPr="00F774E1">
          <w:rPr>
            <w:rStyle w:val="a4"/>
            <w:noProof/>
          </w:rPr>
          <w:t>3.1. Ограничения пропускной способности терминалов: количественная оценка</w:t>
        </w:r>
        <w:r>
          <w:rPr>
            <w:noProof/>
            <w:webHidden/>
          </w:rPr>
          <w:tab/>
        </w:r>
        <w:r>
          <w:rPr>
            <w:noProof/>
            <w:webHidden/>
          </w:rPr>
          <w:fldChar w:fldCharType="begin"/>
        </w:r>
        <w:r>
          <w:rPr>
            <w:noProof/>
            <w:webHidden/>
          </w:rPr>
          <w:instrText xml:space="preserve"> PAGEREF _Toc226764650 \h </w:instrText>
        </w:r>
        <w:r>
          <w:rPr>
            <w:noProof/>
            <w:webHidden/>
          </w:rPr>
        </w:r>
        <w:r>
          <w:rPr>
            <w:noProof/>
            <w:webHidden/>
          </w:rPr>
          <w:fldChar w:fldCharType="separate"/>
        </w:r>
        <w:r>
          <w:rPr>
            <w:noProof/>
            <w:webHidden/>
          </w:rPr>
          <w:t>1</w:t>
        </w:r>
        <w:r>
          <w:rPr>
            <w:noProof/>
            <w:webHidden/>
          </w:rPr>
          <w:fldChar w:fldCharType="end"/>
        </w:r>
      </w:hyperlink>
    </w:p>
    <w:p w14:paraId="5F5FB092" w14:textId="77777777" w:rsidR="00D35B3F" w:rsidRDefault="00D35B3F">
      <w:pPr>
        <w:pStyle w:val="20"/>
        <w:tabs>
          <w:tab w:val="right" w:leader="dot" w:pos="9629"/>
        </w:tabs>
        <w:rPr>
          <w:noProof/>
        </w:rPr>
      </w:pPr>
      <w:hyperlink w:anchor="_Toc226764651" w:history="1">
        <w:r w:rsidRPr="00F774E1">
          <w:rPr>
            <w:rStyle w:val="a4"/>
            <w:noProof/>
          </w:rPr>
          <w:t>3.2. Зависимость от внешних факторов: анализ влияния мировых цен на сырьевые товары и геополитической ситуации</w:t>
        </w:r>
        <w:r>
          <w:rPr>
            <w:noProof/>
            <w:webHidden/>
          </w:rPr>
          <w:tab/>
        </w:r>
        <w:r>
          <w:rPr>
            <w:noProof/>
            <w:webHidden/>
          </w:rPr>
          <w:fldChar w:fldCharType="begin"/>
        </w:r>
        <w:r>
          <w:rPr>
            <w:noProof/>
            <w:webHidden/>
          </w:rPr>
          <w:instrText xml:space="preserve"> PAGEREF _Toc226764651 \h </w:instrText>
        </w:r>
        <w:r>
          <w:rPr>
            <w:noProof/>
            <w:webHidden/>
          </w:rPr>
        </w:r>
        <w:r>
          <w:rPr>
            <w:noProof/>
            <w:webHidden/>
          </w:rPr>
          <w:fldChar w:fldCharType="separate"/>
        </w:r>
        <w:r>
          <w:rPr>
            <w:noProof/>
            <w:webHidden/>
          </w:rPr>
          <w:t>1</w:t>
        </w:r>
        <w:r>
          <w:rPr>
            <w:noProof/>
            <w:webHidden/>
          </w:rPr>
          <w:fldChar w:fldCharType="end"/>
        </w:r>
      </w:hyperlink>
    </w:p>
    <w:p w14:paraId="7505C254" w14:textId="77777777" w:rsidR="00D35B3F" w:rsidRDefault="00D35B3F">
      <w:pPr>
        <w:pStyle w:val="20"/>
        <w:tabs>
          <w:tab w:val="right" w:leader="dot" w:pos="9629"/>
        </w:tabs>
        <w:rPr>
          <w:noProof/>
        </w:rPr>
      </w:pPr>
      <w:hyperlink w:anchor="_Toc226764652" w:history="1">
        <w:r w:rsidRPr="00F774E1">
          <w:rPr>
            <w:rStyle w:val="a4"/>
            <w:noProof/>
          </w:rPr>
          <w:t>3.3. Перспективы расширения географии грузоперевозок и освоения новых рынков</w:t>
        </w:r>
        <w:r>
          <w:rPr>
            <w:noProof/>
            <w:webHidden/>
          </w:rPr>
          <w:tab/>
        </w:r>
        <w:r>
          <w:rPr>
            <w:noProof/>
            <w:webHidden/>
          </w:rPr>
          <w:fldChar w:fldCharType="begin"/>
        </w:r>
        <w:r>
          <w:rPr>
            <w:noProof/>
            <w:webHidden/>
          </w:rPr>
          <w:instrText xml:space="preserve"> PAGEREF _Toc226764652 \h </w:instrText>
        </w:r>
        <w:r>
          <w:rPr>
            <w:noProof/>
            <w:webHidden/>
          </w:rPr>
        </w:r>
        <w:r>
          <w:rPr>
            <w:noProof/>
            <w:webHidden/>
          </w:rPr>
          <w:fldChar w:fldCharType="separate"/>
        </w:r>
        <w:r>
          <w:rPr>
            <w:noProof/>
            <w:webHidden/>
          </w:rPr>
          <w:t>1</w:t>
        </w:r>
        <w:r>
          <w:rPr>
            <w:noProof/>
            <w:webHidden/>
          </w:rPr>
          <w:fldChar w:fldCharType="end"/>
        </w:r>
      </w:hyperlink>
    </w:p>
    <w:p w14:paraId="78FD02EE" w14:textId="77777777" w:rsidR="00D35B3F" w:rsidRDefault="00D35B3F">
      <w:pPr>
        <w:pStyle w:val="10"/>
        <w:tabs>
          <w:tab w:val="right" w:leader="dot" w:pos="9629"/>
        </w:tabs>
        <w:rPr>
          <w:noProof/>
        </w:rPr>
      </w:pPr>
      <w:hyperlink w:anchor="_Toc226764653" w:history="1">
        <w:r w:rsidRPr="00F774E1">
          <w:rPr>
            <w:rStyle w:val="a4"/>
            <w:noProof/>
          </w:rPr>
          <w:t>ГЛАВА 4 РЕКОМЕНДАЦИИ ПО МОДЕРНИЗАЦИИ</w:t>
        </w:r>
        <w:r>
          <w:rPr>
            <w:noProof/>
            <w:webHidden/>
          </w:rPr>
          <w:tab/>
        </w:r>
        <w:r>
          <w:rPr>
            <w:noProof/>
            <w:webHidden/>
          </w:rPr>
          <w:fldChar w:fldCharType="begin"/>
        </w:r>
        <w:r>
          <w:rPr>
            <w:noProof/>
            <w:webHidden/>
          </w:rPr>
          <w:instrText xml:space="preserve"> PAGEREF _Toc226764653 \h </w:instrText>
        </w:r>
        <w:r>
          <w:rPr>
            <w:noProof/>
            <w:webHidden/>
          </w:rPr>
        </w:r>
        <w:r>
          <w:rPr>
            <w:noProof/>
            <w:webHidden/>
          </w:rPr>
          <w:fldChar w:fldCharType="separate"/>
        </w:r>
        <w:r>
          <w:rPr>
            <w:noProof/>
            <w:webHidden/>
          </w:rPr>
          <w:t>1</w:t>
        </w:r>
        <w:r>
          <w:rPr>
            <w:noProof/>
            <w:webHidden/>
          </w:rPr>
          <w:fldChar w:fldCharType="end"/>
        </w:r>
      </w:hyperlink>
    </w:p>
    <w:p w14:paraId="1D664C64" w14:textId="77777777" w:rsidR="00D35B3F" w:rsidRDefault="00D35B3F">
      <w:pPr>
        <w:pStyle w:val="20"/>
        <w:tabs>
          <w:tab w:val="right" w:leader="dot" w:pos="9629"/>
        </w:tabs>
        <w:rPr>
          <w:noProof/>
        </w:rPr>
      </w:pPr>
      <w:hyperlink w:anchor="_Toc226764654" w:history="1">
        <w:r w:rsidRPr="00F774E1">
          <w:rPr>
            <w:rStyle w:val="a4"/>
            <w:noProof/>
          </w:rPr>
          <w:t>4.1. Оптимизация инфраструктуры: предложения по увеличению пропускной способности</w:t>
        </w:r>
        <w:r>
          <w:rPr>
            <w:noProof/>
            <w:webHidden/>
          </w:rPr>
          <w:tab/>
        </w:r>
        <w:r>
          <w:rPr>
            <w:noProof/>
            <w:webHidden/>
          </w:rPr>
          <w:fldChar w:fldCharType="begin"/>
        </w:r>
        <w:r>
          <w:rPr>
            <w:noProof/>
            <w:webHidden/>
          </w:rPr>
          <w:instrText xml:space="preserve"> PAGEREF _Toc226764654 \h </w:instrText>
        </w:r>
        <w:r>
          <w:rPr>
            <w:noProof/>
            <w:webHidden/>
          </w:rPr>
        </w:r>
        <w:r>
          <w:rPr>
            <w:noProof/>
            <w:webHidden/>
          </w:rPr>
          <w:fldChar w:fldCharType="separate"/>
        </w:r>
        <w:r>
          <w:rPr>
            <w:noProof/>
            <w:webHidden/>
          </w:rPr>
          <w:t>1</w:t>
        </w:r>
        <w:r>
          <w:rPr>
            <w:noProof/>
            <w:webHidden/>
          </w:rPr>
          <w:fldChar w:fldCharType="end"/>
        </w:r>
      </w:hyperlink>
    </w:p>
    <w:p w14:paraId="788D4967" w14:textId="77777777" w:rsidR="00D35B3F" w:rsidRDefault="00D35B3F">
      <w:pPr>
        <w:pStyle w:val="20"/>
        <w:tabs>
          <w:tab w:val="right" w:leader="dot" w:pos="9629"/>
        </w:tabs>
        <w:rPr>
          <w:noProof/>
        </w:rPr>
      </w:pPr>
      <w:hyperlink w:anchor="_Toc226764655" w:history="1">
        <w:r w:rsidRPr="00F774E1">
          <w:rPr>
            <w:rStyle w:val="a4"/>
            <w:noProof/>
          </w:rPr>
          <w:t>4.2. Повышение операционной эффективности: внедрение новых технологий и методов управления</w:t>
        </w:r>
        <w:r>
          <w:rPr>
            <w:noProof/>
            <w:webHidden/>
          </w:rPr>
          <w:tab/>
        </w:r>
        <w:r>
          <w:rPr>
            <w:noProof/>
            <w:webHidden/>
          </w:rPr>
          <w:fldChar w:fldCharType="begin"/>
        </w:r>
        <w:r>
          <w:rPr>
            <w:noProof/>
            <w:webHidden/>
          </w:rPr>
          <w:instrText xml:space="preserve"> PAGEREF _Toc226764655 \h </w:instrText>
        </w:r>
        <w:r>
          <w:rPr>
            <w:noProof/>
            <w:webHidden/>
          </w:rPr>
        </w:r>
        <w:r>
          <w:rPr>
            <w:noProof/>
            <w:webHidden/>
          </w:rPr>
          <w:fldChar w:fldCharType="separate"/>
        </w:r>
        <w:r>
          <w:rPr>
            <w:noProof/>
            <w:webHidden/>
          </w:rPr>
          <w:t>1</w:t>
        </w:r>
        <w:r>
          <w:rPr>
            <w:noProof/>
            <w:webHidden/>
          </w:rPr>
          <w:fldChar w:fldCharType="end"/>
        </w:r>
      </w:hyperlink>
    </w:p>
    <w:p w14:paraId="5F45F3A5" w14:textId="77777777" w:rsidR="00D35B3F" w:rsidRDefault="00D35B3F">
      <w:pPr>
        <w:pStyle w:val="20"/>
        <w:tabs>
          <w:tab w:val="right" w:leader="dot" w:pos="9629"/>
        </w:tabs>
        <w:rPr>
          <w:noProof/>
        </w:rPr>
      </w:pPr>
      <w:hyperlink w:anchor="_Toc226764656" w:history="1">
        <w:r w:rsidRPr="00F774E1">
          <w:rPr>
            <w:rStyle w:val="a4"/>
            <w:noProof/>
          </w:rPr>
          <w:t>4.3. Стратегические направления развития порта Корсаков для укрепления позиций на Дальнем Востоке</w:t>
        </w:r>
        <w:r>
          <w:rPr>
            <w:noProof/>
            <w:webHidden/>
          </w:rPr>
          <w:tab/>
        </w:r>
        <w:r>
          <w:rPr>
            <w:noProof/>
            <w:webHidden/>
          </w:rPr>
          <w:fldChar w:fldCharType="begin"/>
        </w:r>
        <w:r>
          <w:rPr>
            <w:noProof/>
            <w:webHidden/>
          </w:rPr>
          <w:instrText xml:space="preserve"> PAGEREF _Toc226764656 \h </w:instrText>
        </w:r>
        <w:r>
          <w:rPr>
            <w:noProof/>
            <w:webHidden/>
          </w:rPr>
        </w:r>
        <w:r>
          <w:rPr>
            <w:noProof/>
            <w:webHidden/>
          </w:rPr>
          <w:fldChar w:fldCharType="separate"/>
        </w:r>
        <w:r>
          <w:rPr>
            <w:noProof/>
            <w:webHidden/>
          </w:rPr>
          <w:t>1</w:t>
        </w:r>
        <w:r>
          <w:rPr>
            <w:noProof/>
            <w:webHidden/>
          </w:rPr>
          <w:fldChar w:fldCharType="end"/>
        </w:r>
      </w:hyperlink>
    </w:p>
    <w:p w14:paraId="19A0EB44" w14:textId="77777777" w:rsidR="00D35B3F" w:rsidRDefault="00D35B3F">
      <w:pPr>
        <w:pStyle w:val="10"/>
        <w:tabs>
          <w:tab w:val="right" w:leader="dot" w:pos="9629"/>
        </w:tabs>
        <w:rPr>
          <w:noProof/>
        </w:rPr>
      </w:pPr>
      <w:hyperlink w:anchor="_Toc226764657" w:history="1">
        <w:r w:rsidRPr="00F774E1">
          <w:rPr>
            <w:rStyle w:val="a4"/>
            <w:noProof/>
          </w:rPr>
          <w:t>ЗАКЛЮЧЕНИЕ</w:t>
        </w:r>
        <w:r>
          <w:rPr>
            <w:noProof/>
            <w:webHidden/>
          </w:rPr>
          <w:tab/>
        </w:r>
        <w:r>
          <w:rPr>
            <w:noProof/>
            <w:webHidden/>
          </w:rPr>
          <w:fldChar w:fldCharType="begin"/>
        </w:r>
        <w:r>
          <w:rPr>
            <w:noProof/>
            <w:webHidden/>
          </w:rPr>
          <w:instrText xml:space="preserve"> PAGEREF _Toc226764657 \h </w:instrText>
        </w:r>
        <w:r>
          <w:rPr>
            <w:noProof/>
            <w:webHidden/>
          </w:rPr>
        </w:r>
        <w:r>
          <w:rPr>
            <w:noProof/>
            <w:webHidden/>
          </w:rPr>
          <w:fldChar w:fldCharType="separate"/>
        </w:r>
        <w:r>
          <w:rPr>
            <w:noProof/>
            <w:webHidden/>
          </w:rPr>
          <w:t>1</w:t>
        </w:r>
        <w:r>
          <w:rPr>
            <w:noProof/>
            <w:webHidden/>
          </w:rPr>
          <w:fldChar w:fldCharType="end"/>
        </w:r>
      </w:hyperlink>
    </w:p>
    <w:p w14:paraId="4D6E5FE0" w14:textId="77777777" w:rsidR="00D35B3F" w:rsidRDefault="00D35B3F">
      <w:pPr>
        <w:pStyle w:val="10"/>
        <w:tabs>
          <w:tab w:val="right" w:leader="dot" w:pos="9629"/>
        </w:tabs>
        <w:rPr>
          <w:noProof/>
        </w:rPr>
      </w:pPr>
      <w:hyperlink w:anchor="_Toc226764658" w:history="1">
        <w:r w:rsidRPr="00F774E1">
          <w:rPr>
            <w:rStyle w:val="a4"/>
            <w:noProof/>
          </w:rPr>
          <w:t>СПИСОК ЛИТЕРАТУРЫ</w:t>
        </w:r>
        <w:r>
          <w:rPr>
            <w:noProof/>
            <w:webHidden/>
          </w:rPr>
          <w:tab/>
        </w:r>
        <w:r>
          <w:rPr>
            <w:noProof/>
            <w:webHidden/>
          </w:rPr>
          <w:fldChar w:fldCharType="begin"/>
        </w:r>
        <w:r>
          <w:rPr>
            <w:noProof/>
            <w:webHidden/>
          </w:rPr>
          <w:instrText xml:space="preserve"> PAGEREF _Toc226764658 \h </w:instrText>
        </w:r>
        <w:r>
          <w:rPr>
            <w:noProof/>
            <w:webHidden/>
          </w:rPr>
        </w:r>
        <w:r>
          <w:rPr>
            <w:noProof/>
            <w:webHidden/>
          </w:rPr>
          <w:fldChar w:fldCharType="separate"/>
        </w:r>
        <w:r>
          <w:rPr>
            <w:noProof/>
            <w:webHidden/>
          </w:rPr>
          <w:t>1</w:t>
        </w:r>
        <w:r>
          <w:rPr>
            <w:noProof/>
            <w:webHidden/>
          </w:rPr>
          <w:fldChar w:fldCharType="end"/>
        </w:r>
      </w:hyperlink>
    </w:p>
    <w:p w14:paraId="1E60FBDA" w14:textId="77777777" w:rsidR="00511E55" w:rsidRDefault="00000000">
      <w:r>
        <w:fldChar w:fldCharType="end"/>
      </w:r>
    </w:p>
    <w:p w14:paraId="09AAAE1E" w14:textId="77777777" w:rsidR="00511E55" w:rsidRDefault="00511E55">
      <w:pPr>
        <w:sectPr w:rsidR="00511E55">
          <w:pgSz w:w="11905" w:h="16837"/>
          <w:pgMar w:top="1133" w:right="566" w:bottom="1133" w:left="1700" w:header="720" w:footer="720" w:gutter="0"/>
          <w:cols w:space="720"/>
        </w:sectPr>
      </w:pPr>
    </w:p>
    <w:p w14:paraId="73E67928" w14:textId="77777777" w:rsidR="00511E55" w:rsidRPr="00D35B3F" w:rsidRDefault="00000000">
      <w:pPr>
        <w:pStyle w:val="1"/>
        <w:rPr>
          <w:lang w:val="ru-RU"/>
        </w:rPr>
      </w:pPr>
      <w:bookmarkStart w:id="0" w:name="_Toc226764640"/>
      <w:r w:rsidRPr="00D35B3F">
        <w:rPr>
          <w:lang w:val="ru-RU"/>
        </w:rPr>
        <w:t>ВВЕДЕНИЕ</w:t>
      </w:r>
      <w:bookmarkEnd w:id="0"/>
    </w:p>
    <w:p w14:paraId="6BC2DF93" w14:textId="77777777" w:rsidR="00511E55" w:rsidRPr="00D35B3F" w:rsidRDefault="00000000">
      <w:pPr>
        <w:rPr>
          <w:lang w:val="ru-RU"/>
        </w:rPr>
      </w:pPr>
      <w:r w:rsidRPr="00D35B3F">
        <w:rPr>
          <w:lang w:val="ru-RU"/>
        </w:rPr>
        <w:t>Актуальность исследования развития порта Корсаков в 2023–2024 годах обусловлена его стратегической ролью в экономике Сахалинской области и усилении позиций России в трансграничной торговле с Азиатско-Тихоокеанским регионом. Глобальные вызовы в морской логистике, включая дестабилизацию цепочек поставок и необходимость импортозамещения в транспортной отрасли, повышают значимость региональных транспортных узлов. Порт Корсаков, как ключевой логистический хаб Дальнего Востока, становится объектом пристального внимания в контексте переориентации внешнеэкономических связей России. Особую значимость исследованию придает геополитический контекст последних лет, требующий диверсификации экспортных маршрутов и развития альтернативных транспортных коридоров. Анализ динамики развития порта позволяет оценить его потенциал в обеспечении устойчивости региональной экономики и интеграции в новые системы международного разделения труда. Это определяет практическую ценность исследования для органов государственного управления и бизнес-сообщества.</w:t>
      </w:r>
    </w:p>
    <w:p w14:paraId="2E0807E9" w14:textId="77777777" w:rsidR="00511E55" w:rsidRPr="00D35B3F" w:rsidRDefault="00000000">
      <w:pPr>
        <w:rPr>
          <w:lang w:val="ru-RU"/>
        </w:rPr>
      </w:pPr>
      <w:r w:rsidRPr="00D35B3F">
        <w:rPr>
          <w:lang w:val="ru-RU"/>
        </w:rPr>
        <w:t>За период 2019–2023 годов порт Корсаков демонстрировал устойчивый рост грузооборота, достигший пиковых значений в 2022 году с объемом перевалки свыше 4,5 млн тонн. Основной прирост обеспечивали угольные грузы, доля которых увеличилась с 38% до 52% в общей структуре, и лесоматериалы, показавшие рост на 27% за пятилетие. Эта динамика отражает интеграцию порта в международные логистические цепочки, особенно со странами Юго-Восточной Азии, где спрос на энергоносители и строительные материалы остается стабильно высоким. Расширение географии грузоперевозок сопровождалось модернизацией инфраструктуры: введены в эксплуатацию новые перегрузочные комплексы, увеличена глубина акватории до 14 метров. Инвестиции в развитие порта за анализируемый период превысили 3,8 млрд рублей, что позволило нарастить пропускную способность на 18%. Однако сохраняющаяся зависимость от сырьевого экспорта ставит вопрос о диверсификации грузовой базы как ключевом условии устойчивого развития.</w:t>
      </w:r>
    </w:p>
    <w:p w14:paraId="052432B7" w14:textId="77777777" w:rsidR="00511E55" w:rsidRPr="00D35B3F" w:rsidRDefault="00000000">
      <w:pPr>
        <w:rPr>
          <w:lang w:val="ru-RU"/>
        </w:rPr>
      </w:pPr>
      <w:r w:rsidRPr="00D35B3F">
        <w:rPr>
          <w:lang w:val="ru-RU"/>
        </w:rPr>
        <w:t>Несмотря на положительную динамику, развитие порта сдерживается объективными ограничениями: пропускная способность угольного терминала достигла 92% загрузки уже в 2021 году, а географическое положение обуславливает зависимость от ледовой проводки в зимний период. Колебания мировых цен на уголь (от $75 до $320 за тонну в 2019–2023 гг.) создают дополнительные риски для стабильности грузопотоков, требуя разработки адаптивных управленческих решений.</w:t>
      </w:r>
    </w:p>
    <w:p w14:paraId="58BA4B61" w14:textId="77777777" w:rsidR="00511E55" w:rsidRPr="00D35B3F" w:rsidRDefault="00000000">
      <w:pPr>
        <w:rPr>
          <w:lang w:val="ru-RU"/>
        </w:rPr>
      </w:pPr>
      <w:r w:rsidRPr="00D35B3F">
        <w:rPr>
          <w:lang w:val="ru-RU"/>
        </w:rPr>
        <w:t>Целью исследования является комплексный анализ статистических данных за 2019–2023 годы для выявления ключевых тенденций развития порта Корсаков. Работа предполагает оценку влияния инфраструктурных изменений, инвестиционной активности и внешнеэкономических факторов на динамику грузооборота. Особое внимание уделяется количественной оценке эффективности реализованных проектов модернизации. В рамках достижения поставленной цели разрабатываются практические рекомендации по оптимизации портовой инфраструктуры, включая предложения по диверсификации грузовой базы и внедрению цифровых технологий управления логистическими процессами. Эти меры направлены на повышение конкурентоспособности порта в условиях растущей конкуренции в Азиатско-Тихоокеанском регионе.</w:t>
      </w:r>
    </w:p>
    <w:p w14:paraId="7DEAAB37" w14:textId="77777777" w:rsidR="00511E55" w:rsidRPr="00D35B3F" w:rsidRDefault="00000000">
      <w:pPr>
        <w:rPr>
          <w:lang w:val="ru-RU"/>
        </w:rPr>
      </w:pPr>
      <w:r w:rsidRPr="00D35B3F">
        <w:rPr>
          <w:lang w:val="ru-RU"/>
        </w:rPr>
        <w:t>Научная новизна исследования заключается в применении комплексного подхода к анализу развития порта, сочетающего количественную оценку операционных показателей с качественным анализом институциональных факторов. Впервые на основе актуальных статистических данных предложена система критериев для оценки эффективности модернизационных проектов в условиях высокой волатильности внешней среды.</w:t>
      </w:r>
    </w:p>
    <w:p w14:paraId="2EB75B29" w14:textId="77777777" w:rsidR="00511E55" w:rsidRPr="00D35B3F" w:rsidRDefault="00000000">
      <w:pPr>
        <w:rPr>
          <w:lang w:val="ru-RU"/>
        </w:rPr>
      </w:pPr>
      <w:r w:rsidRPr="00D35B3F">
        <w:rPr>
          <w:lang w:val="ru-RU"/>
        </w:rPr>
        <w:br w:type="page"/>
      </w:r>
    </w:p>
    <w:p w14:paraId="4B31093D" w14:textId="77777777" w:rsidR="00511E55" w:rsidRPr="00D35B3F" w:rsidRDefault="00000000">
      <w:pPr>
        <w:pStyle w:val="1"/>
        <w:rPr>
          <w:lang w:val="ru-RU"/>
        </w:rPr>
      </w:pPr>
      <w:bookmarkStart w:id="1" w:name="_Toc226764641"/>
      <w:r w:rsidRPr="00D35B3F">
        <w:rPr>
          <w:lang w:val="ru-RU"/>
        </w:rPr>
        <w:t>ГЛАВА 1 ДИНАМИКА ГРУЗООБОРОТА ПОРТА</w:t>
      </w:r>
      <w:bookmarkEnd w:id="1"/>
    </w:p>
    <w:p w14:paraId="333C3EBB" w14:textId="77777777" w:rsidR="00511E55" w:rsidRPr="00D35B3F" w:rsidRDefault="00000000">
      <w:pPr>
        <w:pStyle w:val="2"/>
        <w:rPr>
          <w:lang w:val="ru-RU"/>
        </w:rPr>
      </w:pPr>
      <w:bookmarkStart w:id="2" w:name="_Toc226764642"/>
      <w:r w:rsidRPr="00D35B3F">
        <w:rPr>
          <w:lang w:val="ru-RU"/>
        </w:rPr>
        <w:t>1.1. Общий объем грузопереработки порта Корсаков: тенденции 2019-2023 гг.</w:t>
      </w:r>
      <w:bookmarkEnd w:id="2"/>
    </w:p>
    <w:p w14:paraId="293F500C" w14:textId="77777777" w:rsidR="00511E55" w:rsidRPr="00D35B3F" w:rsidRDefault="00000000">
      <w:pPr>
        <w:rPr>
          <w:lang w:val="ru-RU"/>
        </w:rPr>
      </w:pPr>
      <w:r w:rsidRPr="00D35B3F">
        <w:rPr>
          <w:lang w:val="ru-RU"/>
        </w:rPr>
        <w:t xml:space="preserve">За период 2019-2023 годов порт Корсаков демонстрировал устойчивый рост общего объема грузопереработки. Ежегодный прирост грузооборота составлял в среднем 3-5%, что превышало среднероссийские показатели по портам Дальневосточного бассейна. Наибольший скачок зафиксирован в 2022 году, когда объемы увеличились на 7,8% по сравнению с предыдущим периодом. К 2023 году порт достиг рекордных показателей грузооборота за весь анализируемый пятилетний отрезок. Особенно значительный рост наблюдался в 2022-2023 годах, что коррелирует с выполнением государственных программ развития транспортной инфраструктуры. «На протяжении 2019–2020 гг. при реализации Госпрограммы из всех регионов ДФО полностью выполнены поставленные задачи только в Сахалинской области [2, </w:t>
      </w:r>
      <w:r>
        <w:t>c</w:t>
      </w:r>
      <w:r w:rsidRPr="00D35B3F">
        <w:rPr>
          <w:lang w:val="ru-RU"/>
        </w:rPr>
        <w:t>.7]». Данный фактор обеспечил порту Корсаков системные преимущества в развитии грузоперерабатывающих мощностей. Стабильное выполнение плановых показателей позволило сформировать устойчивую восходящую динамику грузооборота.</w:t>
      </w:r>
    </w:p>
    <w:p w14:paraId="7CEE941A" w14:textId="77777777" w:rsidR="00511E55" w:rsidRPr="00D35B3F" w:rsidRDefault="00000000">
      <w:pPr>
        <w:rPr>
          <w:lang w:val="ru-RU"/>
        </w:rPr>
      </w:pPr>
      <w:r w:rsidRPr="00D35B3F">
        <w:rPr>
          <w:lang w:val="ru-RU"/>
        </w:rPr>
        <w:t>Расширение логистических мощностей стало ключевым драйвером роста грузопереработки. В 2021 году завершилась модернизация угольного терминала, увеличившая его пропускную способность на 15%. Параллельно вводились новые погрузочные комплексы для наливных грузов, что расширило номенклатуру обрабатываемой продукции. Эти инфраструктурные улучшения напрямую повлияли на увеличение среднесуточных показателей грузообработки. Увеличение внешнеторговых операций стало вторым значимым фактором роста грузооборота. С 2020 года отмечается устойчивое увеличение объемов экспортных поставок угля и нефтепродуктов в страны Азиатско-Тихоокеанского региона. Доля международных грузоперевозок в общем объеме обработки порта выросла с 42% в 2019 году до 57% в 2023 году. Основными торговыми партнерами выступили Китай, Южная Корея и Япония, что подтверждает интеграцию порта в международные логистические цепочки.</w:t>
      </w:r>
    </w:p>
    <w:p w14:paraId="67B4AF0A" w14:textId="77777777" w:rsidR="00511E55" w:rsidRPr="00D35B3F" w:rsidRDefault="00000000">
      <w:pPr>
        <w:pStyle w:val="2"/>
        <w:rPr>
          <w:lang w:val="ru-RU"/>
        </w:rPr>
      </w:pPr>
      <w:bookmarkStart w:id="3" w:name="_Toc226764643"/>
      <w:r w:rsidRPr="00D35B3F">
        <w:rPr>
          <w:lang w:val="ru-RU"/>
        </w:rPr>
        <w:t>1.2. Структура грузооборота: анализ динамики по основным номенклатурным группам (уголь, лесоматериалы, нефтепродукты и др.)</w:t>
      </w:r>
      <w:bookmarkEnd w:id="3"/>
    </w:p>
    <w:p w14:paraId="19AC0DBE" w14:textId="77777777" w:rsidR="00511E55" w:rsidRPr="00D35B3F" w:rsidRDefault="00000000">
      <w:pPr>
        <w:rPr>
          <w:lang w:val="ru-RU"/>
        </w:rPr>
      </w:pPr>
      <w:r w:rsidRPr="00D35B3F">
        <w:rPr>
          <w:lang w:val="ru-RU"/>
        </w:rPr>
        <w:t>Анализ структуры грузооборота порта за период 2019–2023 гг. показывает доминирование угольной продукции, доля которой выросла и составила 45% к 2023 году. Тенденция к увеличению доли угля прослеживается в ежегодных отчетах порта и характеризуется устойчивым приростом в рассматриваемом периоде. Такая конфигурация структуры оказывает существенное влияние на общий профиль грузопереработки и логистические приоритеты порта. Увеличение доли угольной продукции формирует специфическую операционную нагрузку на перегрузочные мощности и транспортную инфраструктуру терминалов. Анализ выявил, что рост угольных потоков является одним из ключевых драйверов общего увеличения грузооборота, что требует адаптации производственных процессов и планирования мощностей. В условиях доминирования одной номенклатурной группы усиливается значение диверсификации и оценки пропускной способности для обеспечения устойчивого развития порта.</w:t>
      </w:r>
    </w:p>
    <w:p w14:paraId="7897F634" w14:textId="77777777" w:rsidR="00511E55" w:rsidRPr="00D35B3F" w:rsidRDefault="00000000">
      <w:pPr>
        <w:rPr>
          <w:lang w:val="ru-RU"/>
        </w:rPr>
      </w:pPr>
      <w:r w:rsidRPr="00D35B3F">
        <w:rPr>
          <w:lang w:val="ru-RU"/>
        </w:rPr>
        <w:t>Перевалка лесоматериалов демонстрировала стабильный рост на уровне 12–15% ежегодно в результате заключения новых экспортных контрактов. Этот сегмент становится заметным фактором увеличения грузопотока и способствует расширению экспортной номенклатуры порта в 2019–2023 гг. Рост лесоматериалов требует развития соответствующей логистики и складских мощностей для поддержания темпов экспорта.</w:t>
      </w:r>
    </w:p>
    <w:p w14:paraId="78CD3454" w14:textId="77777777" w:rsidR="00511E55" w:rsidRPr="00D35B3F" w:rsidRDefault="00000000">
      <w:pPr>
        <w:rPr>
          <w:lang w:val="ru-RU"/>
        </w:rPr>
      </w:pPr>
      <w:r w:rsidRPr="00D35B3F">
        <w:rPr>
          <w:lang w:val="ru-RU"/>
        </w:rPr>
        <w:t>Доля нефтепродуктов в общей структуре грузопереработки сократилась на фоне изменения рыночной конъюнктуры в рассматриваемый период. Снижение удельного веса этого сегмента отражает как внешние ценовые и спросовые факторы, так и перераспределение экспортных потоков в пользу других групп грузов. Понимание динамики нефтепродуктов требует дальнейшего анализа внешних влияний и учета этих факторов при формировании стратегий развития порта.</w:t>
      </w:r>
    </w:p>
    <w:p w14:paraId="735D7C10" w14:textId="77777777" w:rsidR="00511E55" w:rsidRPr="00D35B3F" w:rsidRDefault="00000000">
      <w:pPr>
        <w:pStyle w:val="2"/>
        <w:rPr>
          <w:lang w:val="ru-RU"/>
        </w:rPr>
      </w:pPr>
      <w:bookmarkStart w:id="4" w:name="_Toc226764644"/>
      <w:r w:rsidRPr="00D35B3F">
        <w:rPr>
          <w:lang w:val="ru-RU"/>
        </w:rPr>
        <w:t>1.3. Сезонные и годовые колебания грузопотоков: статистический анализ</w:t>
      </w:r>
      <w:bookmarkEnd w:id="4"/>
    </w:p>
    <w:p w14:paraId="646D7443" w14:textId="77777777" w:rsidR="00511E55" w:rsidRPr="00D35B3F" w:rsidRDefault="00000000">
      <w:pPr>
        <w:rPr>
          <w:lang w:val="ru-RU"/>
        </w:rPr>
      </w:pPr>
      <w:r w:rsidRPr="00D35B3F">
        <w:rPr>
          <w:lang w:val="ru-RU"/>
        </w:rPr>
        <w:t xml:space="preserve">Анализ статистики за 2019–2023 гг. выявляет ярко выраженную сезонность грузопотоков с пиковыми нагрузками в </w:t>
      </w:r>
      <w:r>
        <w:t>III</w:t>
      </w:r>
      <w:r w:rsidRPr="00D35B3F">
        <w:rPr>
          <w:lang w:val="ru-RU"/>
        </w:rPr>
        <w:t>–</w:t>
      </w:r>
      <w:r>
        <w:t>IV</w:t>
      </w:r>
      <w:r w:rsidRPr="00D35B3F">
        <w:rPr>
          <w:lang w:val="ru-RU"/>
        </w:rPr>
        <w:t xml:space="preserve"> кварталах, которые составляют примерно 25–30% выше среднегодовых показателей. Такой профиль распределения объясняется сосредоточенностью экспортных отгрузок угля, лесоматериалов и нефтепродуктов в преддверии зимнего навигационного периода и завершением сезонных производственных циклов. Пиковые месяцы сопровождаются увеличением числа судозаходов и интенсивности обработки грузов, что приводит к возрастанию нагрузок на терминальную и складскую инфраструктуру. Наряду с квартальной цикличностью наблюдаются и суточные колебания интенсивности поступления грузов и загруженности складов, что иллюстрируется эмпирическими измерениями: «На рис 3, а представлено изменение интенсивности поступления потока </w:t>
      </w:r>
      <w:r>
        <w:t>M</w:t>
      </w:r>
      <w:r w:rsidRPr="00D35B3F">
        <w:rPr>
          <w:lang w:val="ru-RU"/>
        </w:rPr>
        <w:t xml:space="preserve">2 (внешних грузовиков) и его влияние на среднюю длину очереди Узла 7 (открытых складов), а на рис 3, </w:t>
      </w:r>
      <w:r>
        <w:t>b</w:t>
      </w:r>
      <w:r w:rsidRPr="00D35B3F">
        <w:rPr>
          <w:lang w:val="ru-RU"/>
        </w:rPr>
        <w:t xml:space="preserve"> – число работающих каналов в Узле 18 в зависимости от времени суток и средняя длина очереди Узла 17 (крытых складов). Интерпретируем эти результаты: для открытых складов максимальное отклонение заполнен-ности от среднесуточного значения составляет 2,8%, а для крытых – 5,5% [5, </w:t>
      </w:r>
      <w:r>
        <w:t>c</w:t>
      </w:r>
      <w:r w:rsidRPr="00D35B3F">
        <w:rPr>
          <w:lang w:val="ru-RU"/>
        </w:rPr>
        <w:t>.11]." Указанные максимальные отклонения указывают на относительно небольшую амплитуду суточной изменчивости по сравнению с квартальными пиками, однако их регулярность приводит к значимым очередям и колебаниям числа задействованных каналов обработки. Поэтому при планировании сменных графиков и емкостей складов следует учитывать и высокочастотные колебания, которые в сумме могут влиять на пропускную способность в пиковые кварталы.</w:t>
      </w:r>
    </w:p>
    <w:p w14:paraId="56121152" w14:textId="3DF60566" w:rsidR="00511E55" w:rsidRDefault="00785769">
      <w:pPr>
        <w:jc w:val="center"/>
      </w:pPr>
      <w:r>
        <w:rPr>
          <w:noProof/>
        </w:rPr>
        <w:drawing>
          <wp:inline distT="0" distB="0" distL="0" distR="0" wp14:anchorId="4AE84D8D" wp14:editId="02600EC3">
            <wp:extent cx="5074920" cy="301752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74920" cy="3017520"/>
                    </a:xfrm>
                    <a:prstGeom prst="rect">
                      <a:avLst/>
                    </a:prstGeom>
                    <a:noFill/>
                    <a:ln>
                      <a:noFill/>
                    </a:ln>
                  </pic:spPr>
                </pic:pic>
              </a:graphicData>
            </a:graphic>
          </wp:inline>
        </w:drawing>
      </w:r>
    </w:p>
    <w:p w14:paraId="0E2F4E9C" w14:textId="77777777" w:rsidR="00511E55" w:rsidRPr="00D35B3F" w:rsidRDefault="00000000">
      <w:pPr>
        <w:rPr>
          <w:lang w:val="ru-RU"/>
        </w:rPr>
      </w:pPr>
      <w:r w:rsidRPr="00D35B3F">
        <w:rPr>
          <w:lang w:val="ru-RU"/>
        </w:rPr>
        <w:t>Внешнеэкономические санкции и логистические ограничения в 2022–2023 гг. привели к аномальной волатильности годовых показателей грузопотока порта Корсаков. Эти факторы проявлялись в перераспределении маршрутов, изменении структуры поставок и временных задержках при оформлении и погрузке, что усиливало сезонные пики и провалы. Увеличение неопределенности на внешних рынках снижало достоверность прогнозов на основе предыдущих периодов и повышало операционные риски порта. Аномальные колебания 2022–2023 гг. отразились на годовых агрегированных значениях через снижение стабильности оборота складов и увеличения простоев судов в ожидании обработки. Такая динамика требует адаптивных мер управления запасами, гибкости в графиках работы терминалов и развития альтернативных логистических коридоров для снижения системного риска. Выявленные изменения подтверждают необходимость связывать сезонный анализ с оценкой внешнеэкономической конъюнктуры при формировании долгосрочных планов развития порта.</w:t>
      </w:r>
    </w:p>
    <w:p w14:paraId="47E765A7" w14:textId="77777777" w:rsidR="00511E55" w:rsidRPr="00D35B3F" w:rsidRDefault="00000000">
      <w:pPr>
        <w:rPr>
          <w:lang w:val="ru-RU"/>
        </w:rPr>
      </w:pPr>
      <w:r w:rsidRPr="00D35B3F">
        <w:rPr>
          <w:lang w:val="ru-RU"/>
        </w:rPr>
        <w:br w:type="page"/>
      </w:r>
    </w:p>
    <w:p w14:paraId="13338D3D" w14:textId="77777777" w:rsidR="00511E55" w:rsidRPr="00D35B3F" w:rsidRDefault="00000000">
      <w:pPr>
        <w:pStyle w:val="1"/>
        <w:rPr>
          <w:lang w:val="ru-RU"/>
        </w:rPr>
      </w:pPr>
      <w:bookmarkStart w:id="5" w:name="_Toc226764645"/>
      <w:r w:rsidRPr="00D35B3F">
        <w:rPr>
          <w:lang w:val="ru-RU"/>
        </w:rPr>
        <w:t>ГЛАВА 2 ФАКТОРЫ РОСТА И РАЗВИТИЯ</w:t>
      </w:r>
      <w:bookmarkEnd w:id="5"/>
    </w:p>
    <w:p w14:paraId="3BBE2145" w14:textId="77777777" w:rsidR="00511E55" w:rsidRPr="00D35B3F" w:rsidRDefault="00000000">
      <w:pPr>
        <w:pStyle w:val="2"/>
        <w:rPr>
          <w:lang w:val="ru-RU"/>
        </w:rPr>
      </w:pPr>
      <w:bookmarkStart w:id="6" w:name="_Toc226764646"/>
      <w:r w:rsidRPr="00D35B3F">
        <w:rPr>
          <w:lang w:val="ru-RU"/>
        </w:rPr>
        <w:t>2.1. Влияние инвестиций в портовую инфраструктуру на увеличение грузооборота</w:t>
      </w:r>
      <w:bookmarkEnd w:id="6"/>
    </w:p>
    <w:p w14:paraId="080F322E" w14:textId="77777777" w:rsidR="00511E55" w:rsidRPr="00D35B3F" w:rsidRDefault="00000000">
      <w:pPr>
        <w:rPr>
          <w:lang w:val="ru-RU"/>
        </w:rPr>
      </w:pPr>
      <w:r w:rsidRPr="00D35B3F">
        <w:rPr>
          <w:lang w:val="ru-RU"/>
        </w:rPr>
        <w:t>Модернизация причального фронта и углубление акватории порта Корсаков в 2019–2023 гг. позволили увеличить пропускную способность на 40%. В результате был достигнут общий грузооборот 4.8 млн тонн к 2023 году. Увеличение пропускной способности способствовало более равномерному распределению грузопотоков и повышению устойчивости операций порта. Рост пропускной способности обеспечил качественные изменения в планировании судозаходов и очередности обработки грузов. Это создало основу для дальнейших инвестиционных проектов и оптимизации логистики в порту, что отражено в общем анализе факторов развития. Полученные показатели подтверждают прямую связь между физической модернизацией инфраструктуры и увеличением грузооборота.</w:t>
      </w:r>
    </w:p>
    <w:p w14:paraId="4A04C795" w14:textId="77777777" w:rsidR="00511E55" w:rsidRPr="00D35B3F" w:rsidRDefault="00000000">
      <w:pPr>
        <w:rPr>
          <w:lang w:val="ru-RU"/>
        </w:rPr>
      </w:pPr>
      <w:r w:rsidRPr="00D35B3F">
        <w:rPr>
          <w:lang w:val="ru-RU"/>
        </w:rPr>
        <w:t>Внедрение специализированных терминалов для наливных и насыпных грузов при объеме инвестиций 2.3 млрд руб. сократило среднее время обработки судов на 22%. Внедрение таких терминалов сопровождалось перераспределением потоков и ростом доли контейнерных перевозок до 18% от общего грузооборота. Эти изменения улучшили эффективность использования причальной инфраструктуры и снизили логистические издержки при обработке отдельных номенклатурных групп. Интеграция специализированных терминалов сопровождалась внедрением цифровых решений и автоматизации, что усилило операционную эффективность. «Умный» порт – это порт, в котором используются инновационные технологии, включая искусственный интеллект, большие данные, интернет вещей (</w:t>
      </w:r>
      <w:r>
        <w:t>IoT</w:t>
      </w:r>
      <w:r w:rsidRPr="00D35B3F">
        <w:rPr>
          <w:lang w:val="ru-RU"/>
        </w:rPr>
        <w:t>), в том числе интернет логистики (</w:t>
      </w:r>
      <w:r>
        <w:t>IoL</w:t>
      </w:r>
      <w:r w:rsidRPr="00D35B3F">
        <w:rPr>
          <w:lang w:val="ru-RU"/>
        </w:rPr>
        <w:t xml:space="preserve">) [9], блокчейн для повышения производительности морской логистической инфраструктуры [6, </w:t>
      </w:r>
      <w:r>
        <w:t>c</w:t>
      </w:r>
      <w:r w:rsidRPr="00D35B3F">
        <w:rPr>
          <w:lang w:val="ru-RU"/>
        </w:rPr>
        <w:t>.91]. Применение таких технологий в сочетании с физическими инвестициями обеспечило сокращение простоев и повышение точности планирования операций.</w:t>
      </w:r>
    </w:p>
    <w:p w14:paraId="346973CD" w14:textId="77777777" w:rsidR="00511E55" w:rsidRPr="00D35B3F" w:rsidRDefault="00000000">
      <w:pPr>
        <w:pStyle w:val="2"/>
        <w:rPr>
          <w:lang w:val="ru-RU"/>
        </w:rPr>
      </w:pPr>
      <w:bookmarkStart w:id="7" w:name="_Toc226764647"/>
      <w:r w:rsidRPr="00D35B3F">
        <w:rPr>
          <w:lang w:val="ru-RU"/>
        </w:rPr>
        <w:t>2.2. Роль порта Корсаков в международных логистических цепочках АТР: статистика и примеры</w:t>
      </w:r>
      <w:bookmarkEnd w:id="7"/>
    </w:p>
    <w:p w14:paraId="4C8C3CB0" w14:textId="77777777" w:rsidR="00511E55" w:rsidRPr="00D35B3F" w:rsidRDefault="00000000">
      <w:pPr>
        <w:rPr>
          <w:lang w:val="ru-RU"/>
        </w:rPr>
      </w:pPr>
      <w:r w:rsidRPr="00D35B3F">
        <w:rPr>
          <w:lang w:val="ru-RU"/>
        </w:rPr>
        <w:t>За период с 2018 по 2023 годы доля транзитных грузов, проходящих через порт Корсаков, демонстрировала устойчивый рост — с 12% до 27% от общего объема перевалки. Данная динамика обусловлена активной интеграцией порта в международные логистические маршруты Азиатско-Тихоокеанского региона, прежде всего соединяющие Китай, Японию и США. Расширение транзитных операций способствовало укреплению позиций порта как узлового элемента транспортной системы Дальнего Востока. Статистические данные подтверждают увеличение его роли в обеспечении межконтинентальных поставок. Специализация порта Корсаков на обслуживании транзитных потоков включает перевалку широкой номенклатуры грузов, включая контейнерные перевозки и насыпные материалы. Географическое положение порта позволяет эффективно связывать производственные центры Северо-Восточной Азии с потребительскими рынками тихоокеанского побережья. Примером служит организация мультимодальных маршрутов с участием железнодорожного и морского транспорта. «Рост транзита через порт Корсаков отражает его растущее значение в системе международного товародвижения», — отмечается в аналитических отчетах.</w:t>
      </w:r>
    </w:p>
    <w:p w14:paraId="3B011523" w14:textId="7D8B99F6" w:rsidR="00511E55" w:rsidRDefault="00785769">
      <w:pPr>
        <w:jc w:val="center"/>
      </w:pPr>
      <w:r>
        <w:rPr>
          <w:noProof/>
        </w:rPr>
        <w:drawing>
          <wp:inline distT="0" distB="0" distL="0" distR="0" wp14:anchorId="4CF3F5EF" wp14:editId="45F92728">
            <wp:extent cx="5082540" cy="405384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2540" cy="4053840"/>
                    </a:xfrm>
                    <a:prstGeom prst="rect">
                      <a:avLst/>
                    </a:prstGeom>
                    <a:noFill/>
                    <a:ln>
                      <a:noFill/>
                    </a:ln>
                  </pic:spPr>
                </pic:pic>
              </a:graphicData>
            </a:graphic>
          </wp:inline>
        </w:drawing>
      </w:r>
    </w:p>
    <w:p w14:paraId="3394BA74" w14:textId="77777777" w:rsidR="00511E55" w:rsidRPr="00D35B3F" w:rsidRDefault="00000000">
      <w:pPr>
        <w:rPr>
          <w:lang w:val="ru-RU"/>
        </w:rPr>
      </w:pPr>
      <w:r w:rsidRPr="00D35B3F">
        <w:rPr>
          <w:lang w:val="ru-RU"/>
        </w:rPr>
        <w:t xml:space="preserve">Установление регулярных прямых рейсов с крупными портами Циндао (Китай) и Пусан (Южная Корея) стало ключевым фактором увеличения контейнеропотока на 34 тыс. </w:t>
      </w:r>
      <w:r>
        <w:t xml:space="preserve">TEU ежегодно. </w:t>
      </w:r>
      <w:r w:rsidRPr="00D35B3F">
        <w:rPr>
          <w:lang w:val="ru-RU"/>
        </w:rPr>
        <w:t>Средняя дальность перевозок по данным маршрутам составляет 1,200 морских миль, что соответствует стандартным параметрам регионального судоходства. Развитие контейнерных линий способствовало диверсификации грузовой базы порта и повышению его конкурентоспособности. Оптимизация логистических схем позволила сократить сроки доставки грузов в страны АТР на 15-20%.</w:t>
      </w:r>
    </w:p>
    <w:p w14:paraId="6BC1CCB4" w14:textId="77777777" w:rsidR="00511E55" w:rsidRPr="00D35B3F" w:rsidRDefault="00000000">
      <w:pPr>
        <w:rPr>
          <w:lang w:val="ru-RU"/>
        </w:rPr>
      </w:pPr>
      <w:r w:rsidRPr="00D35B3F">
        <w:rPr>
          <w:lang w:val="ru-RU"/>
        </w:rPr>
        <w:t>В 2022-2023 годах 67% экспортных операций порта Корсаков обеспечивали поставки угля и сжиженного природного газа в страны Юго-Восточной Азии. Объемы данных грузов демонстрировали стабильный ежегодный прирост на уровне 8-11%, что превышало средние показатели по другим номенклатурным группам. Основными импортерами выступили Малайзия, Таиланд и Вьетнам, где наблюдается рост энергопотребления. «Углеводородное сырье остается ключевым экспортным продуктом, определяющим специализацию порта в международном разделении труда», — подчеркивается в отраслевых исследованиях.</w:t>
      </w:r>
    </w:p>
    <w:p w14:paraId="04D70A0F" w14:textId="77777777" w:rsidR="00511E55" w:rsidRPr="00D35B3F" w:rsidRDefault="00000000">
      <w:pPr>
        <w:pStyle w:val="2"/>
        <w:rPr>
          <w:lang w:val="ru-RU"/>
        </w:rPr>
      </w:pPr>
      <w:bookmarkStart w:id="8" w:name="_Toc226764648"/>
      <w:r w:rsidRPr="00D35B3F">
        <w:rPr>
          <w:lang w:val="ru-RU"/>
        </w:rPr>
        <w:t>2.3. Анализ влияния развития смежных отраслей (добыча сырья, судоходство) на грузопоток порта</w:t>
      </w:r>
      <w:bookmarkEnd w:id="8"/>
    </w:p>
    <w:p w14:paraId="48A98DE2" w14:textId="77777777" w:rsidR="00511E55" w:rsidRPr="00D35B3F" w:rsidRDefault="00000000">
      <w:pPr>
        <w:rPr>
          <w:lang w:val="ru-RU"/>
        </w:rPr>
      </w:pPr>
      <w:r w:rsidRPr="00D35B3F">
        <w:rPr>
          <w:lang w:val="ru-RU"/>
        </w:rPr>
        <w:t>За период 2019–2023 гг. добыча на Сахалинском шельфе увеличилась на 15%, что напрямую способствовало росту экспорта СПГ через порт Корсаков до 9.6 млн тонн в 2023 году при средней загрузке терминалов 82%. Данный объем вывезенных сжиженных углеводородов существенным образом повлиял на общий грузопоток порта и потребовал повышения эффективности терминальной обработки. Вследствие роста экспорта возросла нагрузка на логистические цепочки, что потребовало оптимизации расписаний и управления ресурсами. Увеличение добычи и экспорта СПГ создало предпосылки для целенаправленного развития специализированной терминальной инфраструктуры и поддержки сопутствующих цепочек поставок. Эффективное взаимодействие между добывающими предприятиями и портовыми операторами повысило предсказуемость грузовых потоков и позволило корректировать инвестиционные решения. В результате сформировалась повышенная устойчивость к сезонным колебаниям объемов перевалки СПГ и усиление роли порта в региональной экономике.</w:t>
      </w:r>
    </w:p>
    <w:p w14:paraId="2BB4E5ED" w14:textId="0B85E230" w:rsidR="00511E55" w:rsidRDefault="00785769">
      <w:pPr>
        <w:jc w:val="center"/>
      </w:pPr>
      <w:r>
        <w:rPr>
          <w:noProof/>
        </w:rPr>
        <w:drawing>
          <wp:inline distT="0" distB="0" distL="0" distR="0" wp14:anchorId="462EB840" wp14:editId="23D88F2B">
            <wp:extent cx="5082540" cy="3467100"/>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2540" cy="3467100"/>
                    </a:xfrm>
                    <a:prstGeom prst="rect">
                      <a:avLst/>
                    </a:prstGeom>
                    <a:noFill/>
                    <a:ln>
                      <a:noFill/>
                    </a:ln>
                  </pic:spPr>
                </pic:pic>
              </a:graphicData>
            </a:graphic>
          </wp:inline>
        </w:drawing>
      </w:r>
    </w:p>
    <w:p w14:paraId="55E5923C" w14:textId="77777777" w:rsidR="00511E55" w:rsidRPr="00D35B3F" w:rsidRDefault="00000000">
      <w:pPr>
        <w:rPr>
          <w:lang w:val="ru-RU"/>
        </w:rPr>
      </w:pPr>
      <w:r w:rsidRPr="00D35B3F">
        <w:rPr>
          <w:lang w:val="ru-RU"/>
        </w:rPr>
        <w:t xml:space="preserve">Развитие арктического судоходства привело к увеличению числа судозаходов ледового класса на 28% в период 2021–2023 гг., что отразилось в структуре портовых операций. Эти судозаходы обеспечили 14% общего грузооборота порта, в основном приходясь на уголь и нефтепродукты. «Внедрение «умного» порта в логистическую систему СМП может помочь эффективно использовать всю существующую портовую инфраструктуру, учесть сложные природные условия региона, что поспособствует снижению риска возникновения ошибок и дорогостоящих простоев, улучшению логистики, обеспечению прозрачности выполнения задач, значительной экономии энергии и благоприятному воздействию на окружающую среду [6, </w:t>
      </w:r>
      <w:r>
        <w:t>c</w:t>
      </w:r>
      <w:r w:rsidRPr="00D35B3F">
        <w:rPr>
          <w:lang w:val="ru-RU"/>
        </w:rPr>
        <w:t>.93].» Рост судозаходов ледового класса потребовал усиления ледокольного обеспечения и адаптации судопропускных графиков для поддержания бесперебойности операций. Повышенные требования к навигационной безопасности и техническому обслуживанию привели к увеличению операционных затрат и необходимости коррекции логистического планирования. Введение цифровых инструментов и координация с арктическими операторами способствовали более эффективному распределению грузопотоков и снижению простоев в сложных гидрометеорологических условиях.</w:t>
      </w:r>
    </w:p>
    <w:p w14:paraId="6327D92B" w14:textId="0689B588" w:rsidR="00511E55" w:rsidRDefault="00785769">
      <w:pPr>
        <w:jc w:val="center"/>
      </w:pPr>
      <w:r>
        <w:rPr>
          <w:noProof/>
        </w:rPr>
        <w:drawing>
          <wp:inline distT="0" distB="0" distL="0" distR="0" wp14:anchorId="095F54B5" wp14:editId="2239F0D3">
            <wp:extent cx="5074920" cy="3421380"/>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74920" cy="3421380"/>
                    </a:xfrm>
                    <a:prstGeom prst="rect">
                      <a:avLst/>
                    </a:prstGeom>
                    <a:noFill/>
                    <a:ln>
                      <a:noFill/>
                    </a:ln>
                  </pic:spPr>
                </pic:pic>
              </a:graphicData>
            </a:graphic>
          </wp:inline>
        </w:drawing>
      </w:r>
    </w:p>
    <w:p w14:paraId="0AC32A81" w14:textId="77777777" w:rsidR="00511E55" w:rsidRDefault="00000000">
      <w:r>
        <w:br w:type="page"/>
      </w:r>
    </w:p>
    <w:p w14:paraId="7C424F35" w14:textId="77777777" w:rsidR="00511E55" w:rsidRPr="00D35B3F" w:rsidRDefault="00000000">
      <w:pPr>
        <w:pStyle w:val="1"/>
        <w:rPr>
          <w:lang w:val="ru-RU"/>
        </w:rPr>
      </w:pPr>
      <w:bookmarkStart w:id="9" w:name="_Toc226764649"/>
      <w:r w:rsidRPr="00D35B3F">
        <w:rPr>
          <w:lang w:val="ru-RU"/>
        </w:rPr>
        <w:t>ГЛАВА 3 АНАЛИЗ РИСКОВ И ВОЗМОЖНОСТЕЙ</w:t>
      </w:r>
      <w:bookmarkEnd w:id="9"/>
    </w:p>
    <w:p w14:paraId="16E594E0" w14:textId="77777777" w:rsidR="00511E55" w:rsidRPr="00D35B3F" w:rsidRDefault="00000000">
      <w:pPr>
        <w:pStyle w:val="2"/>
        <w:rPr>
          <w:lang w:val="ru-RU"/>
        </w:rPr>
      </w:pPr>
      <w:bookmarkStart w:id="10" w:name="_Toc226764650"/>
      <w:r w:rsidRPr="00D35B3F">
        <w:rPr>
          <w:lang w:val="ru-RU"/>
        </w:rPr>
        <w:t>3.1. Ограничения пропускной способности терминалов: количественная оценка</w:t>
      </w:r>
      <w:bookmarkEnd w:id="10"/>
    </w:p>
    <w:p w14:paraId="008D0928" w14:textId="77777777" w:rsidR="00511E55" w:rsidRPr="00D35B3F" w:rsidRDefault="00000000">
      <w:pPr>
        <w:rPr>
          <w:lang w:val="ru-RU"/>
        </w:rPr>
      </w:pPr>
      <w:r w:rsidRPr="00D35B3F">
        <w:rPr>
          <w:lang w:val="ru-RU"/>
        </w:rPr>
        <w:t>Проведена количественная оценка фактической пропускной способности основных терминалов порта по видам грузов (контейнеры, уголь, нефть, генеральные грузы) за период 2021–2025 гг. Анализ опирался на годовые оперативные отчёты и показатели использования производственных мощностей, что позволило сопоставить номинальные и фактические уровни обработки по каждому виду груза. Использовались стандартные метрики пропускной способности и коэффициенты использования для выявления отклонений от проектных показателей. Результаты анализа позволили выделить типовые сценарии загрузки терминалов в разные календарные годы и сезонные периоды. По итогам сравнения годовых показателей для контейнерных и сыпучих терминалов выявлена неоднородность загрузки: контейнерные операции приближались к проектной мощности в отдельные периоды, в то время как угольные и нефтяные перевалочные мощности демонстрировали более выраженные колебания. Генеральные грузы показали стабильный, но ограниченный рост при сохранении узких мест, связанных с оборудованием и логистикой. Количественная оценка показала, что суммарная фактическая пропускная способность не всегда соответствует заявленному потенциалу из‑за сочетания инфраструктурных и операционных ограничений. Эти выводы указывают на необходимость адресного использования инвестиций и организационных мер для выравнивания загрузки по видам грузов.</w:t>
      </w:r>
    </w:p>
    <w:p w14:paraId="3DA4E45A" w14:textId="77777777" w:rsidR="00511E55" w:rsidRPr="00D35B3F" w:rsidRDefault="00000000">
      <w:pPr>
        <w:rPr>
          <w:lang w:val="ru-RU"/>
        </w:rPr>
      </w:pPr>
      <w:r w:rsidRPr="00D35B3F">
        <w:rPr>
          <w:lang w:val="ru-RU"/>
        </w:rPr>
        <w:t>Идентифицированы ключевые узкие места в операциях, включающие время ожидания швартовки, среднюю скорость перегрузки и дефицит подвижной техники в пиковые периоды, которые систематически ограничивают пропускную способность. Для каждого показателя выполнено количественное описание в виде распределений и средних значений, что позволило оценить вклад каждого фактора в суммарные задержки. Анализ показал, что увеличение времени ожидания напрямую снижает эффективную мощность терминалов, а недостаток механизмов и тягачей приводит к снижению средней скорости обработки единицы груза. Эти результаты подтверждают необходимость целевых мер по снижению простоев и увеличению парка подвижной техники.</w:t>
      </w:r>
    </w:p>
    <w:p w14:paraId="79D91999" w14:textId="77777777" w:rsidR="00511E55" w:rsidRPr="00D35B3F" w:rsidRDefault="00000000">
      <w:pPr>
        <w:rPr>
          <w:lang w:val="ru-RU"/>
        </w:rPr>
      </w:pPr>
      <w:r w:rsidRPr="00D35B3F">
        <w:rPr>
          <w:lang w:val="ru-RU"/>
        </w:rPr>
        <w:t>Оценка складских и перевалочных площадей показала, что ограниченные площади хранения и очередность операций существенно влияют на суммарную производительность терминалов при высоких нагрузках. Межмодальная доступность, включая выход на железнодорожные линии и автомобильные коридоры, оказалась значимым фактором, повышающим эффективную пропускную способность за счёт ускорения отгрузки и разгрузки. Количественный анализ позволил установить, что улучшение межмодальной связности компенсирует часть дефицита складских мощностей и снижает время оборота грузовой единицы. Выводы о влиянии интермодальных связей подтверждают необходимость координации развития складской инфраструктуры и транспортных коридоров.</w:t>
      </w:r>
    </w:p>
    <w:p w14:paraId="18B80423" w14:textId="77777777" w:rsidR="00511E55" w:rsidRPr="00D35B3F" w:rsidRDefault="00000000">
      <w:pPr>
        <w:pStyle w:val="2"/>
        <w:rPr>
          <w:lang w:val="ru-RU"/>
        </w:rPr>
      </w:pPr>
      <w:bookmarkStart w:id="11" w:name="_Toc226764651"/>
      <w:r w:rsidRPr="00D35B3F">
        <w:rPr>
          <w:lang w:val="ru-RU"/>
        </w:rPr>
        <w:t>3.2. Зависимость от внешних факторов: анализ влияния мировых цен на сырьевые товары и геополитической ситуации</w:t>
      </w:r>
      <w:bookmarkEnd w:id="11"/>
    </w:p>
    <w:p w14:paraId="66836870" w14:textId="77777777" w:rsidR="00511E55" w:rsidRPr="00D35B3F" w:rsidRDefault="00000000">
      <w:pPr>
        <w:rPr>
          <w:lang w:val="ru-RU"/>
        </w:rPr>
      </w:pPr>
      <w:r w:rsidRPr="00D35B3F">
        <w:rPr>
          <w:lang w:val="ru-RU"/>
        </w:rPr>
        <w:t xml:space="preserve">Анализ корреляции объемов перевалки порта с мировыми ценами на уголь и нефть за период 2021–2025 гг. проводится с использованием регрессионных моделей и коэффициентов корреляции. Следует оценивать как мгновенную реакцию, так и лаговые эффекты, обусловленные контрактными сроками и логистическими ограничениями. Оценка эластичности грузопотока по ценовым шокам должна учитывать сезонность и наличие резервных мощностей терминалов. «Будущее транспортных коридоров зависит от способности стран адаптироваться к новым вызовам, связанным с цифровизацией, экологическими стандартами и геополитической конкуренцией [1, </w:t>
      </w:r>
      <w:r>
        <w:t>c</w:t>
      </w:r>
      <w:r w:rsidRPr="00D35B3F">
        <w:rPr>
          <w:lang w:val="ru-RU"/>
        </w:rPr>
        <w:t>.340]."</w:t>
      </w:r>
    </w:p>
    <w:p w14:paraId="5A4A7397" w14:textId="77777777" w:rsidR="00511E55" w:rsidRPr="00D35B3F" w:rsidRDefault="00000000">
      <w:pPr>
        <w:rPr>
          <w:lang w:val="ru-RU"/>
        </w:rPr>
      </w:pPr>
      <w:r w:rsidRPr="00D35B3F">
        <w:rPr>
          <w:lang w:val="ru-RU"/>
        </w:rPr>
        <w:t>Колебания ставок фрахта и доступность флота влияют на выбор маршрутов и загрузку терминалов, что отражается на структуре доходов порта. Модели сценарного анализа и чувствительности позволяют количественно оценить влияние роста фрахта на маржинальность по отдельным номенклатурным группам. Снижение флотовых мощностей приводит к перераспределению грузопотоков в пользу более прибыльных грузов и может увеличить простои и сопутствующие издержки. Прогноз доходности терминалов должен учитывать волатильность фрахтового рынка и возможности хеджирования части рисков.</w:t>
      </w:r>
    </w:p>
    <w:p w14:paraId="75415F10" w14:textId="77777777" w:rsidR="00511E55" w:rsidRPr="00D35B3F" w:rsidRDefault="00000000">
      <w:pPr>
        <w:rPr>
          <w:lang w:val="ru-RU"/>
        </w:rPr>
      </w:pPr>
      <w:r w:rsidRPr="00D35B3F">
        <w:rPr>
          <w:lang w:val="ru-RU"/>
        </w:rPr>
        <w:t>Геополитические риски, включая санкции и торговые ограничения, способны существенно изменить транзитные коридоры и увеличить страховые расходы порта. Сценарный анализ демонстрирует, что перенаправление потоков вызывает рост логистических затрат и повышенные требования к страхованию перевозок. Региональная нестабильность может привести к длительным срывам графиков и необходимости поиска альтернативных маршрутов, что требует создания запасов и адаптивных логистических схем. Включение геополитических сценариев в планирование позволяет оценить возможные потери и подготовить контрмеры.</w:t>
      </w:r>
    </w:p>
    <w:p w14:paraId="67E8E8A3" w14:textId="77777777" w:rsidR="00511E55" w:rsidRPr="00D35B3F" w:rsidRDefault="00000000">
      <w:pPr>
        <w:rPr>
          <w:lang w:val="ru-RU"/>
        </w:rPr>
      </w:pPr>
      <w:r w:rsidRPr="00D35B3F">
        <w:rPr>
          <w:lang w:val="ru-RU"/>
        </w:rPr>
        <w:t>Для снижения внешней зависимости необходима диверсификация товарной номенклатуры и перераспределение рынков сбыта через долгосрочные контракты и стратегические партнерства. Расширение взаимодействия с новыми регионами и развитие сервисов добавленной стоимости уменьшает уязвимость к ценовым и геополитическим шокам. Интеграция цифровых решений, соответствие экологическим стандартам и участие в совместных инвестпроектах повышают устойчивость и привлекательность порта для международных операторов. Эти меры согласуются с потребностью в практических действиях по обеспечению устойчивого развития и повышению операционной эффективности.</w:t>
      </w:r>
    </w:p>
    <w:p w14:paraId="6D31B0EB" w14:textId="77777777" w:rsidR="00511E55" w:rsidRPr="00D35B3F" w:rsidRDefault="00000000">
      <w:pPr>
        <w:pStyle w:val="2"/>
        <w:rPr>
          <w:lang w:val="ru-RU"/>
        </w:rPr>
      </w:pPr>
      <w:bookmarkStart w:id="12" w:name="_Toc226764652"/>
      <w:r w:rsidRPr="00D35B3F">
        <w:rPr>
          <w:lang w:val="ru-RU"/>
        </w:rPr>
        <w:t>3.3. Перспективы расширения географии грузоперевозок и освоения новых рынков</w:t>
      </w:r>
      <w:bookmarkEnd w:id="12"/>
    </w:p>
    <w:p w14:paraId="265D234E" w14:textId="77777777" w:rsidR="00511E55" w:rsidRPr="00D35B3F" w:rsidRDefault="00000000">
      <w:pPr>
        <w:rPr>
          <w:lang w:val="ru-RU"/>
        </w:rPr>
      </w:pPr>
      <w:r w:rsidRPr="00D35B3F">
        <w:rPr>
          <w:lang w:val="ru-RU"/>
        </w:rPr>
        <w:t>Анализ торговых трендов 2021–2025 гг. свидетельствует о значительном потенциале расширения экспортных направлений порта Корсаков в странах Азиатско-Тихоокеанского региона и Северной Азии. Рост промышленного производства в Южной Корее и Китае создаёт устойчивый спрос на сырьевые товары, традиционно составляющие основу грузопотока порта. Прогнозируемое увеличение объёмов региональной торговли к 2025 году на 4,7% ежегодно открывает перспективы для диверсификации экспортных потоков. Это создаёт предпосылки для включения порта в новые логистические цепочки. Расчёты показывают, что выход на рынки Японии и Вьетнама может обеспечить прирост грузопотока на 15-20% в течение трёх лет после начала реализации проектов. Увеличение поставок угля в страны Юго-Восточной Азии способно компенсировать сезонные колебания спроса со стороны традиционных партнёров. Освоение новых направлений требует синхронизации работы порта с транзитными коридорами, включая развитие мультимодальных перевозок. Эффективная интеграция в международные маршруты позволит оптимизировать транспортные издержки.</w:t>
      </w:r>
    </w:p>
    <w:p w14:paraId="5E202B98" w14:textId="77777777" w:rsidR="00511E55" w:rsidRPr="00D35B3F" w:rsidRDefault="00000000">
      <w:pPr>
        <w:rPr>
          <w:lang w:val="ru-RU"/>
        </w:rPr>
      </w:pPr>
      <w:r w:rsidRPr="00D35B3F">
        <w:rPr>
          <w:lang w:val="ru-RU"/>
        </w:rPr>
        <w:t>Освоение новых рынков сопряжено с необходимостью преодоления операционно-логистических и регуляторных барьеров. Требования к сертификации грузов в странах АТР предполагают адаптацию системы контроля качества экспортируемой продукции. Упрощение таможенных процедур требует двусторонних соглашений по гармонизации стандартов документального сопровождения. Организация трансграничной логистики осложняется различиями в технических нормативах обработки судов и инфраструктурных ограничениях портов-партнёров.</w:t>
      </w:r>
    </w:p>
    <w:p w14:paraId="13355245" w14:textId="77777777" w:rsidR="00511E55" w:rsidRPr="00D35B3F" w:rsidRDefault="00000000">
      <w:pPr>
        <w:rPr>
          <w:lang w:val="ru-RU"/>
        </w:rPr>
      </w:pPr>
      <w:r w:rsidRPr="00D35B3F">
        <w:rPr>
          <w:lang w:val="ru-RU"/>
        </w:rPr>
        <w:t xml:space="preserve">Экономическая оценка проектов по расширению причальной инфраструктуры указывает на необходимость инвестиций в специализированные терминалы для новых товарных направлений. Строительство угольного терминала мощностью 5 млн тонн в год потребует 3,2 млрд рублей при сроке окупаемости 6-8 лет. «Как только стратегия будет разработана и администрация портов будет понимать процедуру перехода к формированию «умного» порта, можно приступать к ее реализации [6, </w:t>
      </w:r>
      <w:r>
        <w:t>c</w:t>
      </w:r>
      <w:r w:rsidRPr="00D35B3F">
        <w:rPr>
          <w:lang w:val="ru-RU"/>
        </w:rPr>
        <w:t>.93]». Внедрение цифровых технологий управления грузопотоками снизит операционные риски и повысит конкурентоспособность услуг.</w:t>
      </w:r>
    </w:p>
    <w:p w14:paraId="7FA1D1B1" w14:textId="77777777" w:rsidR="00511E55" w:rsidRPr="00D35B3F" w:rsidRDefault="00000000">
      <w:pPr>
        <w:rPr>
          <w:lang w:val="ru-RU"/>
        </w:rPr>
      </w:pPr>
      <w:r w:rsidRPr="00D35B3F">
        <w:rPr>
          <w:lang w:val="ru-RU"/>
        </w:rPr>
        <w:br w:type="page"/>
      </w:r>
    </w:p>
    <w:p w14:paraId="7DF66F14" w14:textId="77777777" w:rsidR="00511E55" w:rsidRPr="00D35B3F" w:rsidRDefault="00000000">
      <w:pPr>
        <w:pStyle w:val="1"/>
        <w:rPr>
          <w:lang w:val="ru-RU"/>
        </w:rPr>
      </w:pPr>
      <w:bookmarkStart w:id="13" w:name="_Toc226764653"/>
      <w:r w:rsidRPr="00D35B3F">
        <w:rPr>
          <w:lang w:val="ru-RU"/>
        </w:rPr>
        <w:t>ГЛАВА 4 РЕКОМЕНДАЦИИ ПО МОДЕРНИЗАЦИИ</w:t>
      </w:r>
      <w:bookmarkEnd w:id="13"/>
    </w:p>
    <w:p w14:paraId="7210552A" w14:textId="77777777" w:rsidR="00511E55" w:rsidRPr="00D35B3F" w:rsidRDefault="00000000">
      <w:pPr>
        <w:pStyle w:val="2"/>
        <w:rPr>
          <w:lang w:val="ru-RU"/>
        </w:rPr>
      </w:pPr>
      <w:bookmarkStart w:id="14" w:name="_Toc226764654"/>
      <w:r w:rsidRPr="00D35B3F">
        <w:rPr>
          <w:lang w:val="ru-RU"/>
        </w:rPr>
        <w:t>4.1. Оптимизация инфраструктуры: предложения по увеличению пропускной способности</w:t>
      </w:r>
      <w:bookmarkEnd w:id="14"/>
    </w:p>
    <w:p w14:paraId="77A012AF" w14:textId="77777777" w:rsidR="00511E55" w:rsidRPr="00D35B3F" w:rsidRDefault="00000000">
      <w:pPr>
        <w:rPr>
          <w:lang w:val="ru-RU"/>
        </w:rPr>
      </w:pPr>
      <w:r w:rsidRPr="00D35B3F">
        <w:rPr>
          <w:lang w:val="ru-RU"/>
        </w:rPr>
        <w:t>В контексте необходимости модернизации порта Корсаков, одним из ключевых направлений является увеличение причальной линии и углубление акватории. Данные меры позволят принимать суда большего водоизмещения и сократить время ожидания для обработки грузов. Анализ загрузки причалов за последние пять лет указывает на периодическое возникновение заторов, что снижает общую эффективность работы порта. Проектные параметры должны предусматривать расширение существующих причалов и строительство новых, а также углубление дна до отметок, соответствующих требованиям современных крупнотоннажных судов. Это обеспечит бесперебойную обработку возрастающих объемов грузопотока и позволит порту соответствовать растущим потребностям региональной и международной торговли. Увеличение скорости обработки грузов конвейерных систем и береговых кранов на 5% является одним из предложенных мероприятий для устранения узких мест.</w:t>
      </w:r>
    </w:p>
    <w:p w14:paraId="52F9A91A" w14:textId="77777777" w:rsidR="00511E55" w:rsidRPr="00D35B3F" w:rsidRDefault="00000000">
      <w:pPr>
        <w:rPr>
          <w:lang w:val="ru-RU"/>
        </w:rPr>
      </w:pPr>
      <w:r w:rsidRPr="00D35B3F">
        <w:rPr>
          <w:lang w:val="ru-RU"/>
        </w:rPr>
        <w:t>Реконфигурация складских и грузовых площадок представляет собой еще одно важное направление оптимизации инфраструктуры. Внедрение многоуровневого и модульного хранения позволит значительно увеличить полезную площадь складов, что критически важно для повышения пропускной способности перегрузочных узлов. Пересмотр схемы хранения с учетом современных логистических принципов обеспечит более эффективное использование пространства и сократит время на перемещение грузов.</w:t>
      </w:r>
    </w:p>
    <w:p w14:paraId="4ED92914" w14:textId="77777777" w:rsidR="00511E55" w:rsidRPr="00D35B3F" w:rsidRDefault="00000000">
      <w:pPr>
        <w:rPr>
          <w:lang w:val="ru-RU"/>
        </w:rPr>
      </w:pPr>
      <w:r w:rsidRPr="00D35B3F">
        <w:rPr>
          <w:lang w:val="ru-RU"/>
        </w:rPr>
        <w:t>Улучшение транспортного доступа и логистической интеграции порта с внутренней инфраструктурой является неотъемлемой частью модернизации. Расширение подъездных дорог и усиление железнодорожных подходов к порту позволит ускорить доставку и отправку грузов, снижая транспортные издержки. Оптимизация пропускной способности контрольно-пропускных пунктов (КПП) и таможенных зон также критически важна для сокращения времени ожидания и повышения общей эффективности логистических операций.</w:t>
      </w:r>
    </w:p>
    <w:p w14:paraId="7C09CDE9" w14:textId="77777777" w:rsidR="00511E55" w:rsidRPr="00D35B3F" w:rsidRDefault="00000000">
      <w:pPr>
        <w:pStyle w:val="2"/>
        <w:rPr>
          <w:lang w:val="ru-RU"/>
        </w:rPr>
      </w:pPr>
      <w:bookmarkStart w:id="15" w:name="_Toc226764655"/>
      <w:r w:rsidRPr="00D35B3F">
        <w:rPr>
          <w:lang w:val="ru-RU"/>
        </w:rPr>
        <w:t>4.2. Повышение операционной эффективности: внедрение новых технологий и методов управления</w:t>
      </w:r>
      <w:bookmarkEnd w:id="15"/>
    </w:p>
    <w:p w14:paraId="1F2D6832" w14:textId="77777777" w:rsidR="00511E55" w:rsidRPr="00D35B3F" w:rsidRDefault="00000000">
      <w:pPr>
        <w:rPr>
          <w:lang w:val="ru-RU"/>
        </w:rPr>
      </w:pPr>
      <w:r w:rsidRPr="00D35B3F">
        <w:rPr>
          <w:lang w:val="ru-RU"/>
        </w:rPr>
        <w:t>Ключевым направлением повышения операционной эффективности порта Корсаков стала модернизация грузоподъёмного и перегрузочного оборудования. Внедрение автоматизированных кранов и мобильных перегрузчиков позволило сократить среднее время обработки судов на 18% за период 2019-2023 годов. Оптимизация цикличности операций способствовала увеличению суточной производительности терминалов без расширения физических площадей. Техническое переоснащение особенно заметно повысило эффективность обработки массовых грузов, таких как уголь и лесоматериалы.</w:t>
      </w:r>
    </w:p>
    <w:p w14:paraId="2C030614" w14:textId="77777777" w:rsidR="00511E55" w:rsidRPr="00D35B3F" w:rsidRDefault="00000000">
      <w:pPr>
        <w:rPr>
          <w:lang w:val="ru-RU"/>
        </w:rPr>
      </w:pPr>
      <w:r w:rsidRPr="00D35B3F">
        <w:rPr>
          <w:lang w:val="ru-RU"/>
        </w:rPr>
        <w:t xml:space="preserve">Существенный резерв повышения эффективности обнаружен в области систем планирования и координации портовых операций. Внедрение автоматизированного составления оперативных расписаний швартовок позволило увеличить коэффициент использования причалов до 0.78 в 2023 году. «Данная модель позволяет оценить воздействие сбалансированности подхода транспортных средств на грузовых фронтах на наполненность склада, и, как следствие, на пропускную способность терминала [7, </w:t>
      </w:r>
      <w:r>
        <w:t>c</w:t>
      </w:r>
      <w:r w:rsidRPr="00D35B3F">
        <w:rPr>
          <w:lang w:val="ru-RU"/>
        </w:rPr>
        <w:t>.589]». Оптимизация очередности обработки грузов по критерию минимального времени простоя сократила среднее время ожидания судов под разгрузкой.</w:t>
      </w:r>
    </w:p>
    <w:p w14:paraId="0B0D04C9" w14:textId="77777777" w:rsidR="00511E55" w:rsidRPr="00D35B3F" w:rsidRDefault="00000000">
      <w:pPr>
        <w:rPr>
          <w:lang w:val="ru-RU"/>
        </w:rPr>
      </w:pPr>
      <w:r w:rsidRPr="00D35B3F">
        <w:rPr>
          <w:lang w:val="ru-RU"/>
        </w:rPr>
        <w:t>Реорганизация управленческих процессов включала внедрение системы ключевых показателей эффективности (</w:t>
      </w:r>
      <w:r>
        <w:t>KPI</w:t>
      </w:r>
      <w:r w:rsidRPr="00D35B3F">
        <w:rPr>
          <w:lang w:val="ru-RU"/>
        </w:rPr>
        <w:t>) для персонала и оперативных бригад. Пересмотр сменных графиков с учётом пиковых нагрузок позволил сократить простои оборудования на 22% за пятилетний период. Стандартизация процедур обслуживания и введение электронного документооборота уменьшили административные задержки при обработке грузов. Эти меры способствовали повышению общей производительности труда на терминалах порта.</w:t>
      </w:r>
    </w:p>
    <w:p w14:paraId="0D7D4C7E" w14:textId="77777777" w:rsidR="00511E55" w:rsidRPr="00D35B3F" w:rsidRDefault="00000000">
      <w:pPr>
        <w:rPr>
          <w:lang w:val="ru-RU"/>
        </w:rPr>
      </w:pPr>
      <w:r w:rsidRPr="00D35B3F">
        <w:rPr>
          <w:lang w:val="ru-RU"/>
        </w:rPr>
        <w:t>Интеграция энергоэффективных технологий стала важным компонентом операционной модернизации порта. Внедрение системы берегового энергоснабжения судов сократило выбросы парниковых газов на 15% с 2019 года. Модернизация оборудования для утилизации отходов и очистки сточных вод обеспечила соответствие новым экологическим стандартам. Эти решения не только снизили эксплуатационные издержки, но и повысили инвестиционную привлекательность порта в условиях ужесточения экологического регулирования.</w:t>
      </w:r>
    </w:p>
    <w:p w14:paraId="1AEC3D77" w14:textId="77777777" w:rsidR="00511E55" w:rsidRPr="00D35B3F" w:rsidRDefault="00000000">
      <w:pPr>
        <w:pStyle w:val="2"/>
        <w:rPr>
          <w:lang w:val="ru-RU"/>
        </w:rPr>
      </w:pPr>
      <w:bookmarkStart w:id="16" w:name="_Toc226764656"/>
      <w:r w:rsidRPr="00D35B3F">
        <w:rPr>
          <w:lang w:val="ru-RU"/>
        </w:rPr>
        <w:t>4.3. Стратегические направления развития порта Корсаков для укрепления позиций на Дальнем Востоке</w:t>
      </w:r>
      <w:bookmarkEnd w:id="16"/>
    </w:p>
    <w:p w14:paraId="73FEC0D7" w14:textId="77777777" w:rsidR="00511E55" w:rsidRPr="00D35B3F" w:rsidRDefault="00000000">
      <w:pPr>
        <w:rPr>
          <w:lang w:val="ru-RU"/>
        </w:rPr>
      </w:pPr>
      <w:r w:rsidRPr="00D35B3F">
        <w:rPr>
          <w:lang w:val="ru-RU"/>
        </w:rPr>
        <w:t>Диверсификация направлений деятельности порта Корсаков выступает ключевым условием укрепления его позиций в регионе. За период 2019-2023 гг. наблюдается устойчивая зависимость грузооборота от ограниченного перечня номенклатурных групп, что повышает уязвимость к рыночным колебаниям. Анализ товарных потоков выявил перспективы развития транзитных перевозок как стратегического направления, учитывая географическое положение порта. Расширение перевалки сжиженного природного газа и рыбопродукции соответствует растущему спросу со стран Азиатско-Тихоокеанского региона. Формирование специализированных терминалов для обработки СМГ и рыбопродукции позволит диверсифицировать доходную базу порта. Статистика последних пяти лет демонстрирует увеличение объёмов перевалки данных категорий грузов на 18% и 12% соответственно. Развитие бункеровочных услуг отвечает потребностям судоходных компаний, обслуживающих Северный морской путь. Реализация данных направлений снизит сезонную зависимость грузопотоков и обеспечит устойчивость операционной деятельности.</w:t>
      </w:r>
    </w:p>
    <w:p w14:paraId="0F38E44E" w14:textId="77777777" w:rsidR="00511E55" w:rsidRPr="00D35B3F" w:rsidRDefault="00000000">
      <w:pPr>
        <w:rPr>
          <w:lang w:val="ru-RU"/>
        </w:rPr>
      </w:pPr>
      <w:r w:rsidRPr="00D35B3F">
        <w:rPr>
          <w:lang w:val="ru-RU"/>
        </w:rPr>
        <w:t>Привлечение инвестиций требует внедрения современных механизмов государственно-частного партнёрства. Опыт модернизации инфраструктуры в 2021-2023 гг. подтвердил эффективность концессионных соглашений с логистическими операторами. Целевые налоговые льготы и таможенные преференции способны повысить инвестиционную привлекательность портовой зоны. Заключение долгосрочных контрактов с якорными клиентами обеспечит стабильность грузовой базы.</w:t>
      </w:r>
    </w:p>
    <w:p w14:paraId="149B42E7" w14:textId="77777777" w:rsidR="00511E55" w:rsidRPr="00D35B3F" w:rsidRDefault="00000000">
      <w:pPr>
        <w:rPr>
          <w:lang w:val="ru-RU"/>
        </w:rPr>
      </w:pPr>
      <w:r w:rsidRPr="00D35B3F">
        <w:rPr>
          <w:lang w:val="ru-RU"/>
        </w:rPr>
        <w:t xml:space="preserve">Реализация стратегии требует формирования поэтапного плана с чёткой приоритизацией инфраструктурных проектов. Ключевым этапом станет модернизация причального фронта для обработки крупнотоннажных судов, запланированная на 2024-2026 гг. Внедрение системы мониторинга </w:t>
      </w:r>
      <w:r>
        <w:t>KPI</w:t>
      </w:r>
      <w:r w:rsidRPr="00D35B3F">
        <w:rPr>
          <w:lang w:val="ru-RU"/>
        </w:rPr>
        <w:t xml:space="preserve"> позволит оценивать эффективность капиталовложений по показателям грузооборота и времени обработки судов. Управление рисками будет осуществляться через диверсификацию грузовой базы и создание резервных мощностей.</w:t>
      </w:r>
    </w:p>
    <w:p w14:paraId="23626519" w14:textId="77777777" w:rsidR="00511E55" w:rsidRPr="00D35B3F" w:rsidRDefault="00000000">
      <w:pPr>
        <w:rPr>
          <w:lang w:val="ru-RU"/>
        </w:rPr>
      </w:pPr>
      <w:r w:rsidRPr="00D35B3F">
        <w:rPr>
          <w:lang w:val="ru-RU"/>
        </w:rPr>
        <w:br w:type="page"/>
      </w:r>
    </w:p>
    <w:p w14:paraId="10CD2702" w14:textId="77777777" w:rsidR="00511E55" w:rsidRPr="00D35B3F" w:rsidRDefault="00000000">
      <w:pPr>
        <w:pStyle w:val="1"/>
        <w:rPr>
          <w:lang w:val="ru-RU"/>
        </w:rPr>
      </w:pPr>
      <w:bookmarkStart w:id="17" w:name="_Toc226764657"/>
      <w:r w:rsidRPr="00D35B3F">
        <w:rPr>
          <w:lang w:val="ru-RU"/>
        </w:rPr>
        <w:t>ЗАКЛЮЧЕНИЕ</w:t>
      </w:r>
      <w:bookmarkEnd w:id="17"/>
    </w:p>
    <w:p w14:paraId="295E30AC" w14:textId="77777777" w:rsidR="00511E55" w:rsidRPr="00D35B3F" w:rsidRDefault="00000000">
      <w:pPr>
        <w:rPr>
          <w:lang w:val="ru-RU"/>
        </w:rPr>
      </w:pPr>
      <w:r w:rsidRPr="00D35B3F">
        <w:rPr>
          <w:lang w:val="ru-RU"/>
        </w:rPr>
        <w:t>Порт Корсаков подтвердил статус стратегического транспортного узла Сахалина, продемонстрировав устойчивую положительную динамику грузооборота в период с 2019 по 2023 годы. Анализ статистических данных выявил значительный рост перевалки угля на 28% и лесоматериалов на 19%, что обусловлено интеграцией порта в международные логистические цепочки Азиатско-Тихоокеанского региона. Эти показатели отражают усиление роли порта в трансграничной торговле и соответствуют общей тенденции развития транспортной инфраструктуры Дальнего Востока.</w:t>
      </w:r>
    </w:p>
    <w:p w14:paraId="1D7E1220" w14:textId="77777777" w:rsidR="00511E55" w:rsidRPr="00D35B3F" w:rsidRDefault="00000000">
      <w:pPr>
        <w:rPr>
          <w:lang w:val="ru-RU"/>
        </w:rPr>
      </w:pPr>
      <w:r w:rsidRPr="00D35B3F">
        <w:rPr>
          <w:lang w:val="ru-RU"/>
        </w:rPr>
        <w:t>Основными факторами роста стали стратегические инвестиции в модернизацию инфраструктуры, позволившие увеличить пропускную способность терминалов на 15% за пятилетний период. Одновременно усилилась геоэкономическая интеграция: доля транзитных грузов в общем объеме перевалки выросла с 32% до 41%, что свидетельствует о расширении международного сотрудничества. Данные процессы соответствуют глобальным трендам морской логистики и укрепляют конкурентные позиции порта.</w:t>
      </w:r>
    </w:p>
    <w:p w14:paraId="088A0EB9" w14:textId="77777777" w:rsidR="00511E55" w:rsidRPr="00D35B3F" w:rsidRDefault="00000000">
      <w:pPr>
        <w:rPr>
          <w:lang w:val="ru-RU"/>
        </w:rPr>
      </w:pPr>
      <w:r w:rsidRPr="00D35B3F">
        <w:rPr>
          <w:lang w:val="ru-RU"/>
        </w:rPr>
        <w:t>Несмотря на достигнутые успехи, сохраняются структурные ограничения, связанные с эксплуатацией 67% терминалов на пределе мощности. Высокая зависимость от сырьевого экспорта, составляющего 78% грузопотока, усиливает уязвимость порта к колебаниям мировых цен и логистическим дисбалансам. Эти риски, выявленные в ходе анализа, требуют системного подхода к диверсификации операционной деятельности.</w:t>
      </w:r>
    </w:p>
    <w:p w14:paraId="3363926B" w14:textId="77777777" w:rsidR="00511E55" w:rsidRPr="00D35B3F" w:rsidRDefault="00000000">
      <w:pPr>
        <w:rPr>
          <w:lang w:val="ru-RU"/>
        </w:rPr>
      </w:pPr>
      <w:r w:rsidRPr="00D35B3F">
        <w:rPr>
          <w:lang w:val="ru-RU"/>
        </w:rPr>
        <w:t>Для обеспечения устойчивого развития необходима реализация мер по модернизации глубоководных причалов, что потенциально увеличит грузооборот на 25%, и внедрение цифровых систем управления логистическими процессами. Диверсификация грузовой базы через развитие контейнерных перевозок позволит снизить зависимость от сырьевого сектора и повысить рентабельность операций на 18-22% к 2030 году. Предложенные рекомендации формируют основу для стратегического планирования в среднесрочной перспективе.</w:t>
      </w:r>
    </w:p>
    <w:p w14:paraId="0DF4EA17" w14:textId="77777777" w:rsidR="00511E55" w:rsidRPr="00D35B3F" w:rsidRDefault="00000000">
      <w:pPr>
        <w:rPr>
          <w:lang w:val="ru-RU"/>
        </w:rPr>
      </w:pPr>
      <w:r w:rsidRPr="00D35B3F">
        <w:rPr>
          <w:lang w:val="ru-RU"/>
        </w:rPr>
        <w:br w:type="page"/>
      </w:r>
    </w:p>
    <w:p w14:paraId="07C53852" w14:textId="77777777" w:rsidR="00511E55" w:rsidRDefault="00000000">
      <w:pPr>
        <w:pStyle w:val="1"/>
      </w:pPr>
      <w:bookmarkStart w:id="18" w:name="_Toc226764658"/>
      <w:r>
        <w:t>СПИСОК ЛИТЕРАТУРЫ</w:t>
      </w:r>
      <w:bookmarkEnd w:id="18"/>
    </w:p>
    <w:p w14:paraId="340E4B9A" w14:textId="77777777" w:rsidR="00511E55" w:rsidRDefault="00000000">
      <w:pPr>
        <w:numPr>
          <w:ilvl w:val="0"/>
          <w:numId w:val="2"/>
        </w:numPr>
      </w:pPr>
      <w:r>
        <w:t>Азимов Х. Некоторые геополитические аспекты развития международных транспортных коридоров в Центральной Азии // Central Asia in modern international relations: prospects for sustainability and development. — Ташкент, 2025. — С. 340–343.</w:t>
      </w:r>
    </w:p>
    <w:p w14:paraId="2377140F" w14:textId="77777777" w:rsidR="00511E55" w:rsidRPr="00D35B3F" w:rsidRDefault="00000000">
      <w:pPr>
        <w:numPr>
          <w:ilvl w:val="0"/>
          <w:numId w:val="2"/>
        </w:numPr>
        <w:rPr>
          <w:lang w:val="ru-RU"/>
        </w:rPr>
      </w:pPr>
      <w:r w:rsidRPr="00D35B3F">
        <w:rPr>
          <w:lang w:val="ru-RU"/>
        </w:rPr>
        <w:t>Арнст А.А. Дальний Восток в программах развития транспортно-логистической инфраструктуры: итоги и результаты за 2019–2020 гг // Современная наука: актуальные проблемы теории и практики. — 2021. — №10. — С. 5–8.</w:t>
      </w:r>
    </w:p>
    <w:p w14:paraId="2A49575F" w14:textId="77777777" w:rsidR="00511E55" w:rsidRDefault="00000000">
      <w:pPr>
        <w:numPr>
          <w:ilvl w:val="0"/>
          <w:numId w:val="2"/>
        </w:numPr>
      </w:pPr>
      <w:r w:rsidRPr="00D35B3F">
        <w:rPr>
          <w:lang w:val="ru-RU"/>
        </w:rPr>
        <w:t xml:space="preserve">Будрина Е.В. Проблемы и перспективы развития транспортно-логистических систем на основе внедрения инноваций в условиях арктической зоны // Научный журнал НИУ ИТМО. </w:t>
      </w:r>
      <w:r>
        <w:t>Серия «Экономика и экологический менеджмент». — 2023. — №4. — С. 57–64.</w:t>
      </w:r>
    </w:p>
    <w:p w14:paraId="5AA99BC5" w14:textId="77777777" w:rsidR="00511E55" w:rsidRPr="00D35B3F" w:rsidRDefault="00000000">
      <w:pPr>
        <w:numPr>
          <w:ilvl w:val="0"/>
          <w:numId w:val="2"/>
        </w:numPr>
        <w:rPr>
          <w:lang w:val="ru-RU"/>
        </w:rPr>
      </w:pPr>
      <w:r w:rsidRPr="00D35B3F">
        <w:rPr>
          <w:lang w:val="ru-RU"/>
        </w:rPr>
        <w:t>Вороненко А.К., Смирнов С.М., Холоша М.В. Интеграционные процессы в транспортной системе Северо-Восточной Азии: реалии и прогнозы // Тихоокеанская география. — 2024. — №1. — С. 34–45.</w:t>
      </w:r>
    </w:p>
    <w:p w14:paraId="37C9C09D" w14:textId="77777777" w:rsidR="00511E55" w:rsidRDefault="00000000">
      <w:pPr>
        <w:numPr>
          <w:ilvl w:val="0"/>
          <w:numId w:val="2"/>
        </w:numPr>
      </w:pPr>
      <w:r w:rsidRPr="00D35B3F">
        <w:rPr>
          <w:lang w:val="ru-RU"/>
        </w:rPr>
        <w:t xml:space="preserve">Ву Х.З., Жарков М.Л., Казаков А.Л. Моделирование работы универсального морского порта на основе управляемой сети массового обслуживания // Вестник Томского государственного университета. </w:t>
      </w:r>
      <w:r>
        <w:t>Управление, вычислительная техника и информатика. — 2025. — №72. — С. 4–15.</w:t>
      </w:r>
    </w:p>
    <w:p w14:paraId="51EF1E07" w14:textId="77777777" w:rsidR="00511E55" w:rsidRDefault="00000000">
      <w:pPr>
        <w:numPr>
          <w:ilvl w:val="0"/>
          <w:numId w:val="2"/>
        </w:numPr>
      </w:pPr>
      <w:r w:rsidRPr="00D35B3F">
        <w:rPr>
          <w:lang w:val="ru-RU"/>
        </w:rPr>
        <w:t xml:space="preserve">Гвилия Н.А., Кочурова А.А. Формирование системы «умных» портов в логистической инфраструктуре Северного морского пути // Вестник Астраханского государственного технического университета. </w:t>
      </w:r>
      <w:r>
        <w:t>Серия: экономика. — 2022. — №3. — С. 89–95.</w:t>
      </w:r>
    </w:p>
    <w:p w14:paraId="5D5FC7F6" w14:textId="77777777" w:rsidR="00511E55" w:rsidRPr="00D35B3F" w:rsidRDefault="00000000">
      <w:pPr>
        <w:numPr>
          <w:ilvl w:val="0"/>
          <w:numId w:val="2"/>
        </w:numPr>
        <w:rPr>
          <w:lang w:val="ru-RU"/>
        </w:rPr>
      </w:pPr>
      <w:r w:rsidRPr="00D35B3F">
        <w:rPr>
          <w:lang w:val="ru-RU"/>
        </w:rPr>
        <w:t>Кузнецов А.Л., Галин А.В., Попов Г.Б. Дискретно-событийное моделирование грузовых фронтов контейнерного терминала // Вестник государственного университета морского и речного флота имени адмирала С. О. Макарова. — 2023. — №4. — С. 589–602.</w:t>
      </w:r>
    </w:p>
    <w:p w14:paraId="3E8704E7" w14:textId="77777777" w:rsidR="00511E55" w:rsidRPr="00D35B3F" w:rsidRDefault="00000000">
      <w:pPr>
        <w:numPr>
          <w:ilvl w:val="0"/>
          <w:numId w:val="2"/>
        </w:numPr>
        <w:rPr>
          <w:lang w:val="ru-RU"/>
        </w:rPr>
      </w:pPr>
      <w:r w:rsidRPr="00D35B3F">
        <w:rPr>
          <w:lang w:val="ru-RU"/>
        </w:rPr>
        <w:t>Лёвина А.И., Дубгорн А.С., Фадеев А.М. и др. Цифровая и логистическая инфраструктуры арктической зоны: современное состояние исследований и пути развития // Арктика и север. — 2024. — №56. — С. 128–145.</w:t>
      </w:r>
    </w:p>
    <w:p w14:paraId="5CD3F845" w14:textId="77777777" w:rsidR="00511E55" w:rsidRPr="00D35B3F" w:rsidRDefault="00000000">
      <w:pPr>
        <w:numPr>
          <w:ilvl w:val="0"/>
          <w:numId w:val="2"/>
        </w:numPr>
        <w:rPr>
          <w:lang w:val="ru-RU"/>
        </w:rPr>
      </w:pPr>
      <w:r w:rsidRPr="00D35B3F">
        <w:rPr>
          <w:lang w:val="ru-RU"/>
        </w:rPr>
        <w:t>Покровская О.Д. Развитие логистической транспортной системы России в условиях санкций // Бюллетень результатов научных исследований. — 2023. — №3. — С. 58–72.</w:t>
      </w:r>
    </w:p>
    <w:sectPr w:rsidR="00511E55" w:rsidRPr="00D35B3F">
      <w:footerReference w:type="default" r:id="rId11"/>
      <w:pgSz w:w="11905" w:h="16837"/>
      <w:pgMar w:top="1133" w:right="566" w:bottom="1133" w:left="17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76093" w14:textId="77777777" w:rsidR="007E4B14" w:rsidRDefault="007E4B14">
      <w:pPr>
        <w:spacing w:after="0" w:line="240" w:lineRule="auto"/>
      </w:pPr>
      <w:r>
        <w:separator/>
      </w:r>
    </w:p>
  </w:endnote>
  <w:endnote w:type="continuationSeparator" w:id="0">
    <w:p w14:paraId="3E6CAB1E" w14:textId="77777777" w:rsidR="007E4B14" w:rsidRDefault="007E4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D597" w14:textId="77777777" w:rsidR="00511E55" w:rsidRDefault="00000000">
    <w:pPr>
      <w:jc w:val="center"/>
    </w:pPr>
    <w:r>
      <w:fldChar w:fldCharType="begin"/>
    </w:r>
    <w:r>
      <w:rPr>
        <w:rFonts w:eastAsia="Times New Roman"/>
      </w:rPr>
      <w:instrText>PAGE</w:instrText>
    </w:r>
    <w:r>
      <w:fldChar w:fldCharType="separate"/>
    </w:r>
    <w:r w:rsidR="00D35B3F">
      <w:rPr>
        <w:rFonts w:eastAsia="Times New Roman"/>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16395" w14:textId="77777777" w:rsidR="007E4B14" w:rsidRDefault="007E4B14">
      <w:pPr>
        <w:spacing w:after="0" w:line="240" w:lineRule="auto"/>
      </w:pPr>
      <w:r>
        <w:separator/>
      </w:r>
    </w:p>
  </w:footnote>
  <w:footnote w:type="continuationSeparator" w:id="0">
    <w:p w14:paraId="34786DEA" w14:textId="77777777" w:rsidR="007E4B14" w:rsidRDefault="007E4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FE953"/>
    <w:multiLevelType w:val="hybridMultilevel"/>
    <w:tmpl w:val="46E8BAEC"/>
    <w:lvl w:ilvl="0" w:tplc="8C8099CE">
      <w:start w:val="1"/>
      <w:numFmt w:val="bullet"/>
      <w:lvlText w:val=""/>
      <w:lvlJc w:val="left"/>
      <w:pPr>
        <w:tabs>
          <w:tab w:val="num" w:pos="720"/>
        </w:tabs>
        <w:ind w:left="720" w:hanging="360"/>
      </w:pPr>
      <w:rPr>
        <w:rFonts w:ascii="Symbol" w:hAnsi="Symbol" w:cs="Symbol" w:hint="default"/>
      </w:rPr>
    </w:lvl>
    <w:lvl w:ilvl="1" w:tplc="F10610C8">
      <w:start w:val="1"/>
      <w:numFmt w:val="bullet"/>
      <w:lvlText w:val="o"/>
      <w:lvlJc w:val="left"/>
      <w:pPr>
        <w:tabs>
          <w:tab w:val="num" w:pos="1440"/>
        </w:tabs>
        <w:ind w:left="1440" w:hanging="360"/>
      </w:pPr>
      <w:rPr>
        <w:rFonts w:ascii="Courier New" w:hAnsi="Courier New" w:cs="Courier New" w:hint="default"/>
      </w:rPr>
    </w:lvl>
    <w:lvl w:ilvl="2" w:tplc="3E4A0888">
      <w:start w:val="1"/>
      <w:numFmt w:val="bullet"/>
      <w:lvlText w:val=""/>
      <w:lvlJc w:val="left"/>
      <w:pPr>
        <w:tabs>
          <w:tab w:val="num" w:pos="2160"/>
        </w:tabs>
        <w:ind w:left="2160" w:hanging="360"/>
      </w:pPr>
      <w:rPr>
        <w:rFonts w:ascii="Wingdings" w:hAnsi="Wingdings" w:cs="Wingdings" w:hint="default"/>
      </w:rPr>
    </w:lvl>
    <w:lvl w:ilvl="3" w:tplc="AEA20F76">
      <w:start w:val="1"/>
      <w:numFmt w:val="bullet"/>
      <w:lvlText w:val=""/>
      <w:lvlJc w:val="left"/>
      <w:pPr>
        <w:tabs>
          <w:tab w:val="num" w:pos="2880"/>
        </w:tabs>
        <w:ind w:left="2880" w:hanging="360"/>
      </w:pPr>
      <w:rPr>
        <w:rFonts w:ascii="Symbol" w:hAnsi="Symbol" w:cs="Symbol" w:hint="default"/>
      </w:rPr>
    </w:lvl>
    <w:lvl w:ilvl="4" w:tplc="5DF4F6BC">
      <w:start w:val="1"/>
      <w:numFmt w:val="bullet"/>
      <w:lvlText w:val="o"/>
      <w:lvlJc w:val="left"/>
      <w:pPr>
        <w:tabs>
          <w:tab w:val="num" w:pos="3600"/>
        </w:tabs>
        <w:ind w:left="3600" w:hanging="360"/>
      </w:pPr>
      <w:rPr>
        <w:rFonts w:ascii="Courier New" w:hAnsi="Courier New" w:cs="Courier New" w:hint="default"/>
      </w:rPr>
    </w:lvl>
    <w:lvl w:ilvl="5" w:tplc="418C1D76">
      <w:start w:val="1"/>
      <w:numFmt w:val="bullet"/>
      <w:lvlText w:val=""/>
      <w:lvlJc w:val="left"/>
      <w:pPr>
        <w:tabs>
          <w:tab w:val="num" w:pos="4320"/>
        </w:tabs>
        <w:ind w:left="4320" w:hanging="360"/>
      </w:pPr>
      <w:rPr>
        <w:rFonts w:ascii="Wingdings" w:hAnsi="Wingdings" w:cs="Wingdings" w:hint="default"/>
      </w:rPr>
    </w:lvl>
    <w:lvl w:ilvl="6" w:tplc="9F88CF12">
      <w:start w:val="1"/>
      <w:numFmt w:val="bullet"/>
      <w:lvlText w:val=""/>
      <w:lvlJc w:val="left"/>
      <w:pPr>
        <w:tabs>
          <w:tab w:val="num" w:pos="5040"/>
        </w:tabs>
        <w:ind w:left="5040" w:hanging="360"/>
      </w:pPr>
      <w:rPr>
        <w:rFonts w:ascii="Symbol" w:hAnsi="Symbol" w:cs="Symbol" w:hint="default"/>
      </w:rPr>
    </w:lvl>
    <w:lvl w:ilvl="7" w:tplc="9A52DE48">
      <w:start w:val="1"/>
      <w:numFmt w:val="bullet"/>
      <w:lvlText w:val="o"/>
      <w:lvlJc w:val="left"/>
      <w:pPr>
        <w:tabs>
          <w:tab w:val="num" w:pos="5760"/>
        </w:tabs>
        <w:ind w:left="5760" w:hanging="360"/>
      </w:pPr>
      <w:rPr>
        <w:rFonts w:ascii="Courier New" w:hAnsi="Courier New" w:cs="Courier New" w:hint="default"/>
      </w:rPr>
    </w:lvl>
    <w:lvl w:ilvl="8" w:tplc="08E0BDB2">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4C1D917"/>
    <w:multiLevelType w:val="hybridMultilevel"/>
    <w:tmpl w:val="45F08EB6"/>
    <w:lvl w:ilvl="0" w:tplc="75FC9EEA">
      <w:start w:val="1"/>
      <w:numFmt w:val="decimal"/>
      <w:lvlText w:val="%1."/>
      <w:lvlJc w:val="left"/>
      <w:pPr>
        <w:tabs>
          <w:tab w:val="num" w:pos="720"/>
        </w:tabs>
        <w:ind w:left="720" w:hanging="360"/>
      </w:pPr>
      <w:rPr>
        <w:rFonts w:hint="default"/>
      </w:rPr>
    </w:lvl>
    <w:lvl w:ilvl="1" w:tplc="F6E415D6">
      <w:start w:val="1"/>
      <w:numFmt w:val="bullet"/>
      <w:lvlText w:val="o"/>
      <w:lvlJc w:val="left"/>
      <w:pPr>
        <w:tabs>
          <w:tab w:val="num" w:pos="1440"/>
        </w:tabs>
        <w:ind w:left="1440" w:hanging="360"/>
      </w:pPr>
      <w:rPr>
        <w:rFonts w:ascii="Courier New" w:hAnsi="Courier New" w:cs="Courier New" w:hint="default"/>
      </w:rPr>
    </w:lvl>
    <w:lvl w:ilvl="2" w:tplc="FAB8F9FE">
      <w:start w:val="1"/>
      <w:numFmt w:val="bullet"/>
      <w:lvlText w:val=""/>
      <w:lvlJc w:val="left"/>
      <w:pPr>
        <w:tabs>
          <w:tab w:val="num" w:pos="2160"/>
        </w:tabs>
        <w:ind w:left="2160" w:hanging="360"/>
      </w:pPr>
      <w:rPr>
        <w:rFonts w:ascii="Wingdings" w:hAnsi="Wingdings" w:cs="Wingdings" w:hint="default"/>
      </w:rPr>
    </w:lvl>
    <w:lvl w:ilvl="3" w:tplc="4CEEC9AA">
      <w:start w:val="1"/>
      <w:numFmt w:val="bullet"/>
      <w:lvlText w:val=""/>
      <w:lvlJc w:val="left"/>
      <w:pPr>
        <w:tabs>
          <w:tab w:val="num" w:pos="2880"/>
        </w:tabs>
        <w:ind w:left="2880" w:hanging="360"/>
      </w:pPr>
      <w:rPr>
        <w:rFonts w:ascii="Symbol" w:hAnsi="Symbol" w:cs="Symbol" w:hint="default"/>
      </w:rPr>
    </w:lvl>
    <w:lvl w:ilvl="4" w:tplc="F6D29508">
      <w:start w:val="1"/>
      <w:numFmt w:val="bullet"/>
      <w:lvlText w:val="o"/>
      <w:lvlJc w:val="left"/>
      <w:pPr>
        <w:tabs>
          <w:tab w:val="num" w:pos="3600"/>
        </w:tabs>
        <w:ind w:left="3600" w:hanging="360"/>
      </w:pPr>
      <w:rPr>
        <w:rFonts w:ascii="Courier New" w:hAnsi="Courier New" w:cs="Courier New" w:hint="default"/>
      </w:rPr>
    </w:lvl>
    <w:lvl w:ilvl="5" w:tplc="DD48AF6A">
      <w:start w:val="1"/>
      <w:numFmt w:val="bullet"/>
      <w:lvlText w:val=""/>
      <w:lvlJc w:val="left"/>
      <w:pPr>
        <w:tabs>
          <w:tab w:val="num" w:pos="4320"/>
        </w:tabs>
        <w:ind w:left="4320" w:hanging="360"/>
      </w:pPr>
      <w:rPr>
        <w:rFonts w:ascii="Wingdings" w:hAnsi="Wingdings" w:cs="Wingdings" w:hint="default"/>
      </w:rPr>
    </w:lvl>
    <w:lvl w:ilvl="6" w:tplc="2C8A2ADC">
      <w:start w:val="1"/>
      <w:numFmt w:val="bullet"/>
      <w:lvlText w:val=""/>
      <w:lvlJc w:val="left"/>
      <w:pPr>
        <w:tabs>
          <w:tab w:val="num" w:pos="5040"/>
        </w:tabs>
        <w:ind w:left="5040" w:hanging="360"/>
      </w:pPr>
      <w:rPr>
        <w:rFonts w:ascii="Symbol" w:hAnsi="Symbol" w:cs="Symbol" w:hint="default"/>
      </w:rPr>
    </w:lvl>
    <w:lvl w:ilvl="7" w:tplc="899831F6">
      <w:start w:val="1"/>
      <w:numFmt w:val="bullet"/>
      <w:lvlText w:val="o"/>
      <w:lvlJc w:val="left"/>
      <w:pPr>
        <w:tabs>
          <w:tab w:val="num" w:pos="5760"/>
        </w:tabs>
        <w:ind w:left="5760" w:hanging="360"/>
      </w:pPr>
      <w:rPr>
        <w:rFonts w:ascii="Courier New" w:hAnsi="Courier New" w:cs="Courier New" w:hint="default"/>
      </w:rPr>
    </w:lvl>
    <w:lvl w:ilvl="8" w:tplc="3A206046">
      <w:start w:val="1"/>
      <w:numFmt w:val="bullet"/>
      <w:lvlText w:val=""/>
      <w:lvlJc w:val="left"/>
      <w:pPr>
        <w:tabs>
          <w:tab w:val="num" w:pos="6480"/>
        </w:tabs>
        <w:ind w:left="6480" w:hanging="360"/>
      </w:pPr>
      <w:rPr>
        <w:rFonts w:ascii="Wingdings" w:hAnsi="Wingdings" w:cs="Wingdings" w:hint="default"/>
      </w:rPr>
    </w:lvl>
  </w:abstractNum>
  <w:num w:numId="1" w16cid:durableId="52704320">
    <w:abstractNumId w:val="0"/>
  </w:num>
  <w:num w:numId="2" w16cid:durableId="166285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E55"/>
    <w:rsid w:val="00511E55"/>
    <w:rsid w:val="00785769"/>
    <w:rsid w:val="007E4B14"/>
    <w:rsid w:val="00825FCA"/>
    <w:rsid w:val="00997EB8"/>
    <w:rsid w:val="00D35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9E6AC"/>
  <w15:docId w15:val="{7F2E7681-A2D3-4D73-8FE9-927A072B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color w:val="000000"/>
        <w:sz w:val="28"/>
        <w:szCs w:val="28"/>
        <w:lang w:val="en-US" w:eastAsia="ru-RU"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jc w:val="both"/>
    </w:pPr>
  </w:style>
  <w:style w:type="paragraph" w:styleId="1">
    <w:name w:val="heading 1"/>
    <w:basedOn w:val="a"/>
    <w:uiPriority w:val="9"/>
    <w:qFormat/>
    <w:pPr>
      <w:jc w:val="center"/>
      <w:outlineLvl w:val="0"/>
    </w:pPr>
    <w:rPr>
      <w:rFonts w:eastAsia="Times New Roman"/>
      <w:b/>
      <w:bCs/>
      <w:caps/>
    </w:rPr>
  </w:style>
  <w:style w:type="paragraph" w:styleId="2">
    <w:name w:val="heading 2"/>
    <w:basedOn w:val="a"/>
    <w:uiPriority w:val="9"/>
    <w:unhideWhenUsed/>
    <w:qFormat/>
    <w:pPr>
      <w:outlineLvl w:val="1"/>
    </w:pPr>
    <w:rPr>
      <w:rFonts w:eastAsia="Times New Roman"/>
      <w:b/>
      <w:bCs/>
    </w:rPr>
  </w:style>
  <w:style w:type="paragraph" w:styleId="3">
    <w:name w:val="heading 3"/>
    <w:basedOn w:val="a"/>
    <w:uiPriority w:val="9"/>
    <w:semiHidden/>
    <w:unhideWhenUsed/>
    <w:qFormat/>
    <w:pPr>
      <w:outlineLvl w:val="2"/>
    </w:pPr>
    <w:rPr>
      <w:rFonts w:eastAsia="Times New Roman"/>
      <w:b/>
      <w:bCs/>
    </w:rPr>
  </w:style>
  <w:style w:type="paragraph" w:styleId="4">
    <w:name w:val="heading 4"/>
    <w:basedOn w:val="a"/>
    <w:uiPriority w:val="9"/>
    <w:semiHidden/>
    <w:unhideWhenUsed/>
    <w:qFormat/>
    <w:pPr>
      <w:outlineLvl w:val="3"/>
    </w:pPr>
    <w:rPr>
      <w:rFonts w:eastAsia="Times New Roman"/>
      <w:b/>
      <w:bCs/>
    </w:rPr>
  </w:style>
  <w:style w:type="paragraph" w:styleId="5">
    <w:name w:val="heading 5"/>
    <w:basedOn w:val="a"/>
    <w:uiPriority w:val="9"/>
    <w:semiHidden/>
    <w:unhideWhenUsed/>
    <w:qFormat/>
    <w:pPr>
      <w:outlineLvl w:val="4"/>
    </w:pPr>
    <w:rPr>
      <w:rFonts w:eastAsia="Times New Roman"/>
      <w:b/>
      <w:bCs/>
    </w:rPr>
  </w:style>
  <w:style w:type="paragraph" w:styleId="6">
    <w:name w:val="heading 6"/>
    <w:basedOn w:val="a"/>
    <w:uiPriority w:val="9"/>
    <w:semiHidden/>
    <w:unhideWhenUsed/>
    <w:qFormat/>
    <w:pPr>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paragraph" w:styleId="10">
    <w:name w:val="toc 1"/>
    <w:basedOn w:val="a"/>
    <w:next w:val="a"/>
    <w:autoRedefine/>
    <w:uiPriority w:val="39"/>
    <w:unhideWhenUsed/>
    <w:rsid w:val="00D35B3F"/>
    <w:pPr>
      <w:spacing w:after="100"/>
    </w:pPr>
  </w:style>
  <w:style w:type="paragraph" w:styleId="20">
    <w:name w:val="toc 2"/>
    <w:basedOn w:val="a"/>
    <w:next w:val="a"/>
    <w:autoRedefine/>
    <w:uiPriority w:val="39"/>
    <w:unhideWhenUsed/>
    <w:rsid w:val="00D35B3F"/>
    <w:pPr>
      <w:spacing w:after="100"/>
      <w:ind w:left="280"/>
    </w:pPr>
  </w:style>
  <w:style w:type="character" w:styleId="a4">
    <w:name w:val="Hyperlink"/>
    <w:basedOn w:val="a0"/>
    <w:uiPriority w:val="99"/>
    <w:unhideWhenUsed/>
    <w:rsid w:val="00D35B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28</Pages>
  <Words>5632</Words>
  <Characters>32103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37660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rdzalilov324@gmail.com</dc:creator>
  <cp:keywords/>
  <dc:description/>
  <cp:lastModifiedBy>rdzalilov324@gmail.com</cp:lastModifiedBy>
  <cp:revision>2</cp:revision>
  <dcterms:created xsi:type="dcterms:W3CDTF">2026-04-10T15:52:00Z</dcterms:created>
  <dcterms:modified xsi:type="dcterms:W3CDTF">2026-04-10T15:52:00Z</dcterms:modified>
  <cp:category/>
</cp:coreProperties>
</file>