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57E" w:rsidRPr="00DE457E" w:rsidRDefault="00DE457E" w:rsidP="00DE457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DE457E">
        <w:rPr>
          <w:rFonts w:ascii="Times New Roman" w:hAnsi="Times New Roman" w:cs="Times New Roman"/>
          <w:b/>
          <w:bCs/>
          <w:sz w:val="28"/>
          <w:szCs w:val="24"/>
        </w:rPr>
        <w:t>Профориентационная</w:t>
      </w:r>
      <w:proofErr w:type="spellEnd"/>
      <w:r w:rsidRPr="00DE457E">
        <w:rPr>
          <w:rFonts w:ascii="Times New Roman" w:hAnsi="Times New Roman" w:cs="Times New Roman"/>
          <w:b/>
          <w:bCs/>
          <w:sz w:val="28"/>
          <w:szCs w:val="24"/>
        </w:rPr>
        <w:t xml:space="preserve"> игра «Я – будущий бухгалтер»</w:t>
      </w:r>
    </w:p>
    <w:p w:rsidR="00DE457E" w:rsidRPr="00DE457E" w:rsidRDefault="00DE457E" w:rsidP="00DE457E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457E">
        <w:rPr>
          <w:rFonts w:ascii="Times New Roman" w:hAnsi="Times New Roman" w:cs="Times New Roman"/>
          <w:i/>
          <w:sz w:val="24"/>
          <w:szCs w:val="24"/>
        </w:rPr>
        <w:t xml:space="preserve">Автор: </w:t>
      </w:r>
      <w:r w:rsidRPr="00DE457E">
        <w:rPr>
          <w:rFonts w:ascii="Times New Roman" w:hAnsi="Times New Roman" w:cs="Times New Roman"/>
          <w:i/>
          <w:sz w:val="24"/>
          <w:szCs w:val="24"/>
        </w:rPr>
        <w:t>Павлова Е. Д.</w:t>
      </w:r>
      <w:r w:rsidRPr="00DE457E">
        <w:rPr>
          <w:rFonts w:ascii="Times New Roman" w:hAnsi="Times New Roman" w:cs="Times New Roman"/>
          <w:i/>
          <w:sz w:val="24"/>
          <w:szCs w:val="24"/>
        </w:rPr>
        <w:t>,</w:t>
      </w:r>
    </w:p>
    <w:p w:rsidR="00DE457E" w:rsidRPr="00DE457E" w:rsidRDefault="00DE457E" w:rsidP="00DE457E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457E">
        <w:rPr>
          <w:rFonts w:ascii="Times New Roman" w:hAnsi="Times New Roman" w:cs="Times New Roman"/>
          <w:i/>
          <w:sz w:val="24"/>
          <w:szCs w:val="24"/>
        </w:rPr>
        <w:t>г. Нижний Новгород, ГБПОУ НГК</w:t>
      </w:r>
    </w:p>
    <w:p w:rsidR="00DE457E" w:rsidRPr="00DE457E" w:rsidRDefault="00DE457E" w:rsidP="00DE457E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457E">
        <w:rPr>
          <w:rFonts w:ascii="Times New Roman" w:hAnsi="Times New Roman" w:cs="Times New Roman"/>
          <w:i/>
          <w:sz w:val="24"/>
          <w:szCs w:val="24"/>
        </w:rPr>
        <w:t>студентка, 1 курса</w:t>
      </w:r>
    </w:p>
    <w:p w:rsidR="00DE457E" w:rsidRPr="00DE457E" w:rsidRDefault="00DE457E" w:rsidP="00DE457E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457E">
        <w:rPr>
          <w:rFonts w:ascii="Times New Roman" w:hAnsi="Times New Roman" w:cs="Times New Roman"/>
          <w:i/>
          <w:sz w:val="24"/>
          <w:szCs w:val="24"/>
        </w:rPr>
        <w:t xml:space="preserve">Научный руководитель: </w:t>
      </w:r>
      <w:proofErr w:type="spellStart"/>
      <w:r w:rsidRPr="00DE457E">
        <w:rPr>
          <w:rFonts w:ascii="Times New Roman" w:hAnsi="Times New Roman" w:cs="Times New Roman"/>
          <w:i/>
          <w:sz w:val="24"/>
          <w:szCs w:val="24"/>
        </w:rPr>
        <w:t>Орешкова</w:t>
      </w:r>
      <w:proofErr w:type="spellEnd"/>
      <w:r w:rsidRPr="00DE457E">
        <w:rPr>
          <w:rFonts w:ascii="Times New Roman" w:hAnsi="Times New Roman" w:cs="Times New Roman"/>
          <w:i/>
          <w:sz w:val="24"/>
          <w:szCs w:val="24"/>
        </w:rPr>
        <w:t xml:space="preserve"> М.С.,</w:t>
      </w:r>
    </w:p>
    <w:p w:rsidR="00DE457E" w:rsidRPr="00DE457E" w:rsidRDefault="00DE457E" w:rsidP="00DE457E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457E">
        <w:rPr>
          <w:rFonts w:ascii="Times New Roman" w:hAnsi="Times New Roman" w:cs="Times New Roman"/>
          <w:i/>
          <w:sz w:val="24"/>
          <w:szCs w:val="24"/>
        </w:rPr>
        <w:t>Преподаватель ГБПОУ НГК</w:t>
      </w:r>
    </w:p>
    <w:p w:rsidR="00DE457E" w:rsidRPr="00DE457E" w:rsidRDefault="00DE457E" w:rsidP="00DE457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E457E" w:rsidRPr="00DE457E" w:rsidRDefault="00DE457E" w:rsidP="00DE457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>В условиях быстро меняющегося рынка труда и появления новых профессий многие школьники и студенты сталкиваются с проблемой выбора будущей специальности. Им часто не хватает наглядного, интерактивного представления о сути той или иной профессии. Бухгалтерия, несмотря на свою фундаментальную роль в функционировании современной экономики, нередко воспринимается через призму устаревших стереотипов: монотонная работа с бумагами, бесконечные подсчёты, отсутствие творчества и карьерного роста. Это приводит к тому, что многие молодые люди отказываются от перспективной специальности, не имея о ней актуального представления.</w:t>
      </w:r>
    </w:p>
    <w:p w:rsidR="00DE457E" w:rsidRPr="00DE457E" w:rsidRDefault="00DE457E" w:rsidP="00DE457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Что же такое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игра? Какие существуют её разновидности и формы? Почему игровой формат может быть более эффективным при знакомстве с профессией бухгалтера, чем традиционная лекция или экскурсия? Эти вопросы стали отправной точкой для разработки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игры «Я – будущий бухгалтер».</w:t>
      </w:r>
    </w:p>
    <w:p w:rsidR="00DE457E" w:rsidRP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игра – это игра, моделирующая различные стороны процесса профессионального самоопределения. Она имеет учебно-познавательный формат, в котором игровые механики используются для помощи участникам в осознании своих профессиональных склонностей, знакомстве с содержанием профессий и приобретении н</w:t>
      </w:r>
      <w:r>
        <w:rPr>
          <w:rFonts w:ascii="Times New Roman" w:hAnsi="Times New Roman" w:cs="Times New Roman"/>
          <w:sz w:val="24"/>
          <w:szCs w:val="24"/>
        </w:rPr>
        <w:t>ачальных практических навыков [2, 3</w:t>
      </w:r>
      <w:r w:rsidRPr="00DE457E">
        <w:rPr>
          <w:rFonts w:ascii="Times New Roman" w:hAnsi="Times New Roman" w:cs="Times New Roman"/>
          <w:sz w:val="24"/>
          <w:szCs w:val="24"/>
        </w:rPr>
        <w:t xml:space="preserve">]. В зависимости от цели выделяют несколько разновидностей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игр: информационные (расширяют знания о профессиях), диагностические (выявляют склонности и способности), имитационные (позволяют «примерить» профессию), адаптационные (помогают освоиться в новой среде), развивающие (тренируют конкретные компетенции) и ценностно-смысловые (формиру</w:t>
      </w:r>
      <w:r>
        <w:rPr>
          <w:rFonts w:ascii="Times New Roman" w:hAnsi="Times New Roman" w:cs="Times New Roman"/>
          <w:sz w:val="24"/>
          <w:szCs w:val="24"/>
        </w:rPr>
        <w:t>ют профессиональные ценности) [1</w:t>
      </w:r>
      <w:r w:rsidRPr="00DE457E">
        <w:rPr>
          <w:rFonts w:ascii="Times New Roman" w:hAnsi="Times New Roman" w:cs="Times New Roman"/>
          <w:sz w:val="24"/>
          <w:szCs w:val="24"/>
        </w:rPr>
        <w:t xml:space="preserve">]. Формы проведения также разнообразны: от настольных и карточных игр до компьютерных симуляторов и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иммерсивных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VR-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>.</w:t>
      </w:r>
    </w:p>
    <w:p w:rsidR="00DE457E" w:rsidRP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Одной из главных причин, по которой традиционные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мероприятия (лекции, беседы) часто не достигают цели, является их пассивный характер. Школьники и студенты выступают в роли слушателей, а не активных участников. Игровой формат, напротив, позволяет «прожить» ключевые аспекты профессиональной деятельности, совершать ошибки в безопасной среде и получать мгновенную обратную связь. Это особенно важно для профессии бухгалтера, которая требует не только теоретических знаний, но и развитой внимательности, логического мышления, усидчивости и умения работать с цифрами.</w:t>
      </w:r>
    </w:p>
    <w:p w:rsidR="00DE457E" w:rsidRPr="00DE457E" w:rsidRDefault="00DE457E" w:rsidP="00DE457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К сожалению, из-за недостатка интерактивных форматов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работы многие учащиеся имеют довольно устаревшие представления о профессии бухгалтера, сводя её лишь к подсчётам и бумажной волоките. В результате даже те, кто потенциально мог бы стать успешным специалистом в этой сфере, выбирают другие направления. Показательна ситуация, когда студенты первого курса экономических специальностей признаются, что пришли в профессию случайно, «за компанию» или по совету родителей, не имея реального представления о том, чем предстоит заниматься. Это порождает разочарование, снижение мотивации к учёбе и, как следствие, низкое качество подготовки специалистов [4].</w:t>
      </w:r>
    </w:p>
    <w:p w:rsidR="00DE457E" w:rsidRP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В связи с недостаточным уровнем осведомлённости о современном облике профессии бухгалтера и нехваткой интерактивных форматов знакомства с ней было </w:t>
      </w:r>
      <w:r w:rsidRPr="00DE457E">
        <w:rPr>
          <w:rFonts w:ascii="Times New Roman" w:hAnsi="Times New Roman" w:cs="Times New Roman"/>
          <w:sz w:val="24"/>
          <w:szCs w:val="24"/>
        </w:rPr>
        <w:lastRenderedPageBreak/>
        <w:t xml:space="preserve">проведено исследование среди учащихся 8–9 классов и студентов 1 курса СПО. В опросе приняли участие 135 респондентов. Результаты показали, что 34% опрошенных проявляют выраженный интерес к профессии бухгалтера, а ещё 24,4% находятся в зоне неопределённости. При этом 69,9% оценивают свои знания в области бухгалтерии как начальные, а 77,8% не проходили никаких курсов или занятий. Проверка фактических знаний выявила, что только 31,1% правильно определили документ «баланс», а термин «дебет» правильно (или близко к правильному) интерпретировали лишь 34,1% респондентов. При выборе формата знакомства с профессией 52,6% участников отдали предпочтение игре. Ожидания от игры распределились следующим образом: получить первые представления о профессии – 23,6%, познакомиться с основными понятиями – 21,9%, определить, подходит ли профессия – 21,9%. Как можно заметить, при наличии интереса к профессии у значительной части аудитории наблюдается крайне низкий уровень базовых знаний. Данный случай ещё раз говорит о необходимости разработки игровых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продуктов, ориентированных на начальный уровень подготовки.</w:t>
      </w:r>
    </w:p>
    <w:p w:rsidR="00DE457E" w:rsidRP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Благодаря проведённому исследованию становится понятно, что большинство учащихся имеют лишь поверхностное представление о профессии бухгалтера. Многие не знают основных терминов, не понимают специфики работы и не могут оценить, подходят ли им личностные требования этой профессии. При этом важно отметить, что большинство опрошенных хотели бы познакомиться с профессией в игровом формате и получить первые практические навыки. В ходе опроса также выяснилось, что учащиеся считают умение планировать бюджет и работать с финансовыми документами важными навыками в современном мире. Это показывает неравнодушие молодёжи к своему профессиональному будущему и позволяет задуматься о необходимости внедрения игровых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форматов в образовательный процесс.</w:t>
      </w:r>
    </w:p>
    <w:p w:rsidR="00DE457E" w:rsidRP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На основе полученных данных была разработана командная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игра «Я – будущий бухгалтер», включающая пять туров, объединённых общей легендой: участники выступают в роли стажёров аудиторской компании «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Бухгалтеръ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&amp; Ко». Первый тур «Математический блиц» направлен на проверку базовых вычислительных навыков. Второй тур «Бухгалтерская азбука» знакомит с профессиональной терминологией (дебет, кредит, баланс, амортизация, инвентаризация, проводка). Третий тур «Идеальный сотрудник» позволяет участникам выбрать и обосновать ключевые личностные качества бухгалтера. Четвёртый тур «Найди ошибку» моделирует реальную профессиональную ситуацию: участники ищут ошибки в ведомости начисления зарплаты, счёте на оплату или платёжной ведомости. Пятый тур «Семейный бюджет у жителей Простоквашино» представляет собой практический кейс по планированию бюджета на основе письма Кота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Матроскина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. Продолжительность игры – 45 минут. Апробация на группе из 20 человек подтвердила эффективность продукта: участники проявили высокий уровень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вовлечённости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>, отметили увлекательность заданий и полезность полученных знаний.</w:t>
      </w:r>
    </w:p>
    <w:p w:rsid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игра «Я – будущий бухгалтер» представляет собой готовый к внедрению инструмент, позволяющий разрушить устаревшие стереотипы о профессии бухгалтера, продемонстрировать её многогранность и значимость, а также помочь учащимся сделать более осознанный профессиональный выбор.</w:t>
      </w:r>
    </w:p>
    <w:p w:rsidR="00DE457E" w:rsidRPr="00DE457E" w:rsidRDefault="00DE457E" w:rsidP="00DE4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457E" w:rsidRDefault="00DE457E" w:rsidP="00DE457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457E">
        <w:rPr>
          <w:rFonts w:ascii="Times New Roman" w:hAnsi="Times New Roman" w:cs="Times New Roman"/>
          <w:bCs/>
          <w:sz w:val="24"/>
          <w:szCs w:val="24"/>
        </w:rPr>
        <w:t>Литература:</w:t>
      </w:r>
    </w:p>
    <w:p w:rsidR="00DE457E" w:rsidRPr="00DE457E" w:rsidRDefault="00DE457E" w:rsidP="00DE45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457E" w:rsidRPr="00DE457E" w:rsidRDefault="00DE457E" w:rsidP="00DE45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Зеер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, Э. Ф. Профессиональное самоопределение: теория и практика / Э. Ф.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Зеер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, А. М. Павлова, Н. О.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>. – Москва: Академия, 2018. – 320 с. – ISBN 978-5-4468-5678-9.</w:t>
      </w:r>
    </w:p>
    <w:p w:rsidR="00DE457E" w:rsidRPr="00DE457E" w:rsidRDefault="00DE457E" w:rsidP="00DE45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lastRenderedPageBreak/>
        <w:t xml:space="preserve">Иванова, А. С.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игры как инструмент формирования профессиональных компетенций у студентов экономических специальностей / А. С. Иванова, П. К. Петров // Современное образование: традиции и инновации: сборник статей по материалам III Всероссийской научно-практической конференции / отв. ред. А. В. Сидоров. – Москва: МПГУ, 2022. – С. 45-52.</w:t>
      </w:r>
    </w:p>
    <w:p w:rsidR="00DE457E" w:rsidRPr="00DE457E" w:rsidRDefault="00DE457E" w:rsidP="00DE45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 xml:space="preserve">Валеева, Р. Р. Игровые формы </w:t>
      </w:r>
      <w:proofErr w:type="spellStart"/>
      <w:r w:rsidRPr="00DE457E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DE457E">
        <w:rPr>
          <w:rFonts w:ascii="Times New Roman" w:hAnsi="Times New Roman" w:cs="Times New Roman"/>
          <w:sz w:val="24"/>
          <w:szCs w:val="24"/>
        </w:rPr>
        <w:t xml:space="preserve"> работы / Р. Р. Валеева, А. Е. Давыдов // Вестник Нижегородского университета им. Н.И. Лобачевского. Серия: Социальные науки. – 2018. – № 4. – С. 56-62. – URL: </w:t>
      </w:r>
      <w:hyperlink r:id="rId5" w:tgtFrame="_blank" w:history="1">
        <w:r w:rsidRPr="00DE457E">
          <w:rPr>
            <w:rStyle w:val="a3"/>
            <w:rFonts w:ascii="Times New Roman" w:hAnsi="Times New Roman" w:cs="Times New Roman"/>
            <w:sz w:val="24"/>
            <w:szCs w:val="24"/>
          </w:rPr>
          <w:t>https://cyberleninka.ru/article/n/igrovye-formy-proforientatsionnoy-raboty</w:t>
        </w:r>
      </w:hyperlink>
      <w:r w:rsidRPr="00DE457E">
        <w:rPr>
          <w:rFonts w:ascii="Times New Roman" w:hAnsi="Times New Roman" w:cs="Times New Roman"/>
          <w:sz w:val="24"/>
          <w:szCs w:val="24"/>
        </w:rPr>
        <w:t> (дата обращения: 20.10.2025).</w:t>
      </w:r>
    </w:p>
    <w:p w:rsidR="00DE457E" w:rsidRPr="00DE457E" w:rsidRDefault="00DE457E" w:rsidP="00DE45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57E">
        <w:rPr>
          <w:rFonts w:ascii="Times New Roman" w:hAnsi="Times New Roman" w:cs="Times New Roman"/>
          <w:sz w:val="24"/>
          <w:szCs w:val="24"/>
        </w:rPr>
        <w:t>Смирнов, В. Л. Бухгалтерская профессия в цифровую эпоху: вызовы и перспективы / В. Л. Смирнов // Экономика и управление: проблемы, решения. – 2021. – Т. 1, № 5 (113). – С. 12-19.</w:t>
      </w:r>
    </w:p>
    <w:p w:rsidR="00E45BDF" w:rsidRPr="00DE457E" w:rsidRDefault="00E45BDF" w:rsidP="00DE457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45BDF" w:rsidRPr="00DE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7371"/>
    <w:multiLevelType w:val="multilevel"/>
    <w:tmpl w:val="FE187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57E"/>
    <w:rsid w:val="00DE457E"/>
    <w:rsid w:val="00E4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B785A"/>
  <w15:chartTrackingRefBased/>
  <w15:docId w15:val="{F67CBDCE-93D3-4057-B168-E17EE781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457E"/>
    <w:rPr>
      <w:color w:val="0563C1" w:themeColor="hyperlink"/>
      <w:u w:val="single"/>
    </w:rPr>
  </w:style>
  <w:style w:type="paragraph" w:styleId="a4">
    <w:name w:val="No Spacing"/>
    <w:uiPriority w:val="1"/>
    <w:qFormat/>
    <w:rsid w:val="00DE457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4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4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igrovye-formy-proforientatsionnoy-rabo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2026-04-06T08:11:00Z</cp:lastPrinted>
  <dcterms:created xsi:type="dcterms:W3CDTF">2026-04-06T08:02:00Z</dcterms:created>
  <dcterms:modified xsi:type="dcterms:W3CDTF">2026-04-06T08:15:00Z</dcterms:modified>
</cp:coreProperties>
</file>