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eastAsia="Liberation Serif" w:cs="Liberation Serif" w:ascii="Liberation Serif" w:hAnsi="Liberation Serif"/>
          <w:b/>
          <w:sz w:val="28"/>
        </w:rPr>
        <w:t>Категория обучаемых «Уполномоченные по гражданской обороне и защите населения и территорий от чрезвычайных ситуаций»</w:t>
      </w:r>
    </w:p>
    <w:p>
      <w:pPr>
        <w:pStyle w:val="Heading1"/>
        <w:shd w:val="clear" w:color="auto" w:fill="FFFFFF"/>
        <w:spacing w:lineRule="atLeast" w:line="510" w:before="480" w:after="240"/>
        <w:ind w:hanging="0" w:left="0" w:right="0"/>
        <w:jc w:val="center"/>
        <w:rPr>
          <w:rFonts w:ascii="Liberation Serif" w:hAnsi="Liberation Serif" w:cs="Liberation Serif"/>
          <w:b/>
          <w:color w:val="0F1115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</w:rPr>
        <w:t>ЛЕКЦИЯ</w:t>
      </w:r>
    </w:p>
    <w:p>
      <w:pPr>
        <w:pStyle w:val="Normal"/>
        <w:shd w:val="clear" w:color="auto" w:fill="FFFFFF"/>
        <w:spacing w:before="240" w:after="240"/>
        <w:ind w:firstLine="709" w:left="0" w:right="0"/>
        <w:jc w:val="both"/>
        <w:rPr>
          <w:rFonts w:ascii="Liberation Serif" w:hAnsi="Liberation Serif" w:cs="Liberation Serif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</w:rPr>
        <w:t xml:space="preserve">Тема: </w:t>
      </w:r>
      <w:r>
        <w:rPr>
          <w:rFonts w:eastAsia="Liberation Serif" w:cs="Liberation Serif" w:ascii="Liberation Serif" w:hAnsi="Liberation Serif"/>
          <w:b/>
          <w:bCs/>
          <w:color w:val="0F1115"/>
          <w:sz w:val="28"/>
        </w:rPr>
        <w:t>Требования нормативных правовых актов по вопросам ГО и ЗНТЧС. Организация и выполнение мероприятий по ГО и защиты от ЧС.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План лекции: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33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1. Нормативно-правовая база.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33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2. Ключевые изменения в законодательстве в 2026 году.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3. Организация выполнения мероприятий в организациях (учреждениях).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33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4. Подготовка населения и должностных лиц.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5. Выполнение основных мероприятий.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6. Федеральные и региональные законы и подзаконные акты по вопросам ГО и защиты от ЧС. Их сущность и направления деятельности, обучаемых по их реализации.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Целевая аудитория: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 Руководители организаций, специалисты ГО и РСЧС, должностные лица органов власти, обучаемые в рамках курсового обучения.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Цель лекции: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 Сформировать у слушателей целостное представление о структуре и сущности нормативно-правовой базы в области гражданской обороны (ГО) и защиты от чрезвычайных ситуаций (ЧС), изучить ключевые изменения законодательства 2026 года, а также определить направления деятельности обучаемых по реализации этих норм.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  <w14:ligatures w14:val="none"/>
        </w:rPr>
        <w:t>Время: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  <w14:ligatures w14:val="none"/>
        </w:rPr>
        <w:t> 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  <w14:ligatures w14:val="none"/>
        </w:rPr>
        <w:t>45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  <w14:ligatures w14:val="none"/>
        </w:rPr>
        <w:t xml:space="preserve"> минут 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Добрый день, уважаемые коллеги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  <w14:ligatures w14:val="none"/>
        </w:rPr>
        <w:t>!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Тема нашей сегодняшней лекции – «Требования нормативных правовых актов по вопросам ГО и ЗНТЧС. Организация и выполнение мероприятий по ГО и защиты от ЧС». Актуальность этой темы обусловлена существенной трансформацией подходов к обеспечению безопасности в современных геополитических условиях. 20 января 2026 года вступили в силу ключевые изменения в базовом федеральном законе № 28-ФЗ «О гражданской обороне» (Федеральный закон от 23 июля 2025 г. № 240-ФЗ «О внесении изменений...»). 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Кроме того, в этом году был введен новый национальный стандарт ГОСТ Р 42.5.03-2025, касающийся маркировки зон заражения</w:t>
      </w:r>
      <w:r>
        <w:rPr>
          <w:rStyle w:val="FootnoteReference"/>
          <w:rFonts w:eastAsia="Liberation Serif" w:cs="Liberation Serif" w:ascii="Liberation Serif" w:hAnsi="Liberation Serif"/>
          <w:color w:val="0F1115"/>
          <w:sz w:val="28"/>
          <w:szCs w:val="28"/>
        </w:rPr>
        <w:footnoteReference w:id="2"/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и целого ряда подзаконных актов.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Сегодня мы разберем эти новеллы, а также базовые принципы организации работы в области ГО и ЧС.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1. Нормативно-правовая база</w:t>
      </w:r>
    </w:p>
    <w:p>
      <w:pPr>
        <w:pStyle w:val="Normal"/>
        <w:shd w:val="clear" w:color="auto" w:fill="FFFFFF"/>
        <w:spacing w:beforeAutospacing="0" w:before="0" w:afterAutospacing="0" w:after="0"/>
        <w:ind w:hanging="0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  <w:u w:val="single"/>
        </w:rPr>
        <w:t>Правовую основу составляют несколько уровней документов: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Федеральный закон № 28-ФЗ «О гражданской обороне» (в ред. от 23.07.2025 № 240-ФЗ). Это базовый документ, который теперь определяет ГО как систему мероприятий по защите от опасностей в период мобилизации, военного положения и в военное время. Ранее к этому перечню относились и мирные ЧС, но сейчас акцент смещен на военные угрозы, хотя фактически мероприятия в мирное время остаются значимыми.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Постановления Правительства РФ, регулирующие порядок создания структурных подразделений ГО, накопления запасов, подготовки населения (Постановления № 782,</w:t>
      </w:r>
      <w:r>
        <w:rPr>
          <w:rStyle w:val="FootnoteReference"/>
          <w:rFonts w:eastAsia="Liberation Serif" w:cs="Liberation Serif" w:ascii="Liberation Serif" w:hAnsi="Liberation Serif"/>
          <w:color w:val="0F1115"/>
          <w:sz w:val="28"/>
          <w:szCs w:val="28"/>
        </w:rPr>
        <w:footnoteReference w:id="3"/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№ 379,</w:t>
      </w:r>
      <w:r>
        <w:rPr>
          <w:rStyle w:val="FootnoteReference"/>
          <w:rFonts w:eastAsia="Liberation Serif" w:cs="Liberation Serif" w:ascii="Liberation Serif" w:hAnsi="Liberation Serif"/>
          <w:color w:val="0F1115"/>
          <w:sz w:val="28"/>
          <w:szCs w:val="28"/>
        </w:rPr>
        <w:footnoteReference w:id="4"/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№ 841</w:t>
      </w:r>
      <w:r>
        <w:rPr>
          <w:rStyle w:val="FootnoteReference"/>
          <w:rFonts w:eastAsia="Liberation Serif" w:cs="Liberation Serif" w:ascii="Liberation Serif" w:hAnsi="Liberation Serif"/>
          <w:color w:val="0F1115"/>
          <w:sz w:val="28"/>
          <w:szCs w:val="28"/>
        </w:rPr>
        <w:footnoteReference w:id="5"/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).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Приказы МЧС России, в частности новый Приказ № 63 от 03.02.2026, утвердивший Положение о Департаменте гражданской обороны</w:t>
      </w:r>
      <w:r>
        <w:rPr>
          <w:rStyle w:val="FootnoteReference"/>
          <w:rFonts w:eastAsia="Liberation Serif" w:cs="Liberation Serif" w:ascii="Liberation Serif" w:hAnsi="Liberation Serif"/>
          <w:color w:val="0F1115"/>
          <w:sz w:val="28"/>
          <w:szCs w:val="28"/>
        </w:rPr>
        <w:footnoteReference w:id="6"/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, и Распоряжение № 1013 о профилактике нарушений в области ГО</w:t>
      </w:r>
      <w:r>
        <w:rPr>
          <w:rStyle w:val="FootnoteReference"/>
          <w:rFonts w:eastAsia="Liberation Serif" w:cs="Liberation Serif" w:ascii="Liberation Serif" w:hAnsi="Liberation Serif"/>
          <w:color w:val="0F1115"/>
          <w:sz w:val="28"/>
          <w:szCs w:val="28"/>
        </w:rPr>
        <w:footnoteReference w:id="7"/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ГОСТ Р 42.5.03-2025 (действует с 01.02.2026), устанавливающий требования к выявлению и маркировке территорий, подвергшихся радиоактивному, химическому или биологическому загрязнению.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Nimbus Roman" w:hAnsi="Nimbus Roman" w:cs="Nimbus Roman"/>
          <w:b/>
          <w:bCs/>
          <w:color w:val="0F1115"/>
          <w:sz w:val="28"/>
          <w:szCs w:val="28"/>
          <w14:ligatures w14:val="none"/>
        </w:rPr>
      </w:pPr>
      <w:r>
        <w:rPr>
          <w:rFonts w:cs="Nimbus Roman" w:ascii="Nimbus Roman" w:hAnsi="Nimbus Roman"/>
          <w:b/>
          <w:bCs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2. Ключевые изменения в законодательстве в 2026 году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Коллеги, крайне важно понимать новые подходы, которые законодатель заложил в систему ГО с января 2026 года.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  <w:u w:val="single"/>
        </w:rPr>
        <w:t>Первое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. Изменение понятийного аппарата. Федеральный закон № 28-ФЗ в новой редакции четко разделяет понятия. Ранее под защиту от ЧС природного и техногенного характера подпадало мирное время. Теперь гражданская оборона ориентирована исключительно на военные угрозы: </w:t>
      </w: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период мобилизации, военное положение и военное время.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Это не означает, что мы забыли о ЧС мирного времени (за них отвечает РСЧС), но это меняет логику планирования запасов и подготовки.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color w:val="0F1115"/>
          <w:sz w:val="28"/>
          <w:szCs w:val="28"/>
          <w14:ligatures w14:val="none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Гражданская оборона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в период мобилизации, в период действия военного положения, в военное время;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  <w:u w:val="single"/>
        </w:rPr>
        <w:t>Второе.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Управление и координация. Существенно усилена вертикаль власти. Теперь руководители субъектов РФ (губернаторы) получили право самостоятельно вводить в действие планы гражданской обороны и защиты населения на своей территории в полном объеме или частично. Это решение принимается по предложению главы МЧС России, что повышает оперативность реагирования. Кроме того, на федеральном уровне координацию деятельности всех органов власти в области ГО теперь осуществляет Правительственная комиссия по предупреждению и ликвидации ЧС и обеспечению пожарной безопасности. На местах эту функцию выполняют соответствующие региональные комиссии.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  <w:u w:val="single"/>
        </w:rPr>
        <w:t>Третье.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Новые полномочия силовых структур. В целях защиты населения и объектов критической инфраструктуры сотрудникам МЧС (пожарные, спасатели) официально разрешено пресекать функционирование беспилотных воздушных судов (подавлять сигналы управления)</w:t>
      </w:r>
      <w:r>
        <w:rPr>
          <w:rStyle w:val="FootnoteReference"/>
          <w:rFonts w:eastAsia="Liberation Serif" w:cs="Liberation Serif" w:ascii="Liberation Serif" w:hAnsi="Liberation Serif"/>
          <w:color w:val="0F1115"/>
          <w:sz w:val="28"/>
          <w:szCs w:val="28"/>
        </w:rPr>
        <w:footnoteReference w:id="8"/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. Это прямое следствие учета опыта проведения специальной военной операции.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b/>
          <w:bCs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3. Организация выполнения мероприятий в организациях (учреждениях)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Перейдем к практической части – как выстроить работу на уровне организации.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u w:val="singl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  <w:u w:val="single"/>
        </w:rPr>
        <w:t>3.1. Назначение ответственных и создание структур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В соответствии с Постановлением Правительства РФ № 782 (с изменениями от 2026 года), </w:t>
      </w: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организации обязаны: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создавать структурные подразделения (работников), уполномоченных на решение задач в области ГО.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если организация относится к категориям по ГО (имеет мобилизационное задание или является опасным производственным объектом), наличие штатного специалиста по ГО обязательно.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создавать нештатные формирования по обеспечению выполнения мероприятий по ГО (НФГО) из числа работников.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u w:val="singl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  <w:u w:val="single"/>
        </w:rPr>
        <w:t>3.2. Планирование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Планы гражданской обороны и защиты населения должны быть актуализированы под новые определения «опасностей» (военные угрозы). В планах должно быть учтено: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взаимодействие с единой государственной системой предупреждения и ликвидации ЧС (РСЧС).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порядок введения в действие планов (с учетом новых полномочий региональных властей).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  <w:u w:val="single"/>
        </w:rPr>
        <w:t>3.3. Финансирование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Важным нововведением является разработка </w:t>
      </w: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механизмов компенсации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расходов субъектам РФ и организациям из федерального бюджета на выполнение мероприятий по ГО, если фактические затраты превысили плановые в связи с экстренными обстоятельствами.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4. Подготовка населения и должностных лиц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Требования к обучению ужесточаются.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Согласно Положению о подготовке населения (Постановление № 841), обучению подлежат все категории граждан. Однако особое внимание уделяется:</w:t>
      </w:r>
    </w:p>
    <w:p>
      <w:pPr>
        <w:pStyle w:val="Normal"/>
        <w:shd w:val="clear" w:color="auto" w:fill="FFFFFF"/>
        <w:spacing w:beforeAutospacing="0" w:before="0" w:afterAutospacing="0" w:after="0"/>
        <w:ind w:hanging="0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Руководителям организаций.</w:t>
      </w:r>
    </w:p>
    <w:p>
      <w:pPr>
        <w:pStyle w:val="Normal"/>
        <w:shd w:val="clear" w:color="auto" w:fill="FFFFFF"/>
        <w:spacing w:beforeAutospacing="0" w:before="0" w:afterAutospacing="0" w:after="0"/>
        <w:ind w:hanging="0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Специалистам по ГО и ЧС.</w:t>
      </w:r>
    </w:p>
    <w:p>
      <w:pPr>
        <w:pStyle w:val="Normal"/>
        <w:shd w:val="clear" w:color="auto" w:fill="FFFFFF"/>
        <w:spacing w:beforeAutospacing="0" w:before="0" w:afterAutospacing="0" w:after="0"/>
        <w:ind w:hanging="0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Председателям и членам эвакуационных комиссий.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Важно: Лица, вновь назначенные на должности, связанные с выполнением задач по ГО, обязаны пройти обучение в течение первого года работы. Повышение квалификации должно быть регулярным. Игнорирование этого требования грозит административной ответственностью и признанием организации неготовой к действиям в условиях кризиса.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14:ligatures w14:val="none"/>
        </w:rPr>
      </w:pPr>
      <w:r>
        <w:rPr>
          <w:rFonts w:cs="Liberation Serif" w:ascii="Liberation Serif" w:hAnsi="Liberation Serif"/>
          <w:b/>
          <w:bCs/>
          <w:color w:val="0F1115"/>
          <w:sz w:val="28"/>
          <w:szCs w:val="28"/>
          <w14:ligatures w14:val="none"/>
        </w:rPr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5. Выполнение основных мероприятий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Каковы же основные мероприятия, которые мы должны выполнять?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Оповещение.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Поддержание в постоянной готовности систем оповещения населения. Это включает в себя доведение сигналов как в военное время, так и при угрозе ЧС.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Эвакуация.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Планирование и проведение эвакуационных мероприятий. С 2026 года уточнены полномочия органов власти по подготовке к эвакуации материальных и культурных ценностей.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Инженерная защита.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Накопление, хранение и использование фонда защитных сооружений (убежищ и укрытий). Новые стандарты теперь включают требования к содержанию этих объектов с учетом угрозы применения беспилотных средств.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Средства индивидуальной защиты (СИЗ).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Обеспечение населения СИЗ (противогазы, респираторы, аптечки). Нормативные требования к накоплению запасов скорректированы с учетом новых определений опасностей.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Специальная обработка.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Введен новый ГОСТ Р 42.5.03-2025, который устанавливает четкие требования к выявлению зон заражения и их обязательной маркировке (знаки ограждения, щиты с указанием уровня заражения). Для организаций, чья деятельность связана с опасными веществами, это требует внесения изменений в инструкции и планы ликвидации аварий.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6. Федеральные и региональные законы и подзаконные акты по вопросам ГО и защиты от ЧС. Их сущность и направления деятельности, обучаемых по их реализации.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Система законодательства в этой сфере строится по иерархическому принципу: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Федеральные законы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(ФЗ № 28-ФЗ «О гражданской обороне», ФЗ № 68-ФЗ «О защите населения...»).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Указы Президента РФ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(определяют основы единой государственной политики).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Постановления Правительства РФ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(регулируют порядок создания сил, накопления запасов, подготовки населения).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Ведомственные акты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(приказы МЧС России, методические указания).</w:t>
      </w:r>
    </w:p>
    <w:p>
      <w:pPr>
        <w:pStyle w:val="Normal"/>
        <w:shd w:val="clear" w:color="auto" w:fill="FFFFFF"/>
        <w:spacing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Региональные законы и подзаконные акты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(принимаются с учетом специфики субъекта РФ).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Сегодня мы разберем сущность этих документов и, что самое важное, определим, чему и как мы должны учить персонал в рамках выполнения этих требований.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1. Федеральный уровень: Сущность и ключевые изменения 2026 года</w:t>
      </w:r>
    </w:p>
    <w:p>
      <w:pPr>
        <w:pStyle w:val="Heading3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1.1. Федеральный закон № 28-ФЗ «О гражданской обороне»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В январе 2026 года вступили в силу изменения, внесенные Федеральным законом № 240-ФЗ. Они кардинально скорректировали понятийный аппарат и разграничили полномочия.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Сущность изменений: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Ранее гражданская оборона определялась как система мероприятий по защите от опасностей </w:t>
      </w:r>
      <w:r>
        <w:rPr>
          <w:rFonts w:eastAsia="Liberation Serif" w:cs="Liberation Serif" w:ascii="Liberation Serif" w:hAnsi="Liberation Serif"/>
          <w:i/>
          <w:color w:val="0F1115"/>
          <w:sz w:val="28"/>
          <w:szCs w:val="28"/>
        </w:rPr>
        <w:t>при военных конфликтах или вследствие этих конфликтов, а также при ЧС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. Теперь понятие расширено. ГО нацелена на защиту от опасностей, возникающих </w:t>
      </w: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Направления деятельности: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Для обучаемых это означает смещение акцента с «классических» чрезвычайных ситуаций природного и техногенного характера на специфические риски военного времени. Теперь в программах подготовки должны превалировать темы: светомаскировка, эвакуация в условиях военного положения, повышение устойчивости функционирования объектов (ПУФ) в условиях особого периода, использование средств индивидуальной защиты (СИЗ) военного образца.</w:t>
      </w:r>
    </w:p>
    <w:p>
      <w:pPr>
        <w:pStyle w:val="Heading3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sz w:val="28"/>
          <w:szCs w:val="28"/>
        </w:rPr>
      </w:pPr>
      <w:r>
        <w:rPr>
          <w:rFonts w:cs="Liberation Serif" w:ascii="Liberation Serif" w:hAnsi="Liberation Serif"/>
          <w:b w:val="false"/>
          <w:bCs w:val="false"/>
          <w:sz w:val="28"/>
          <w:szCs w:val="28"/>
        </w:rPr>
      </w:r>
    </w:p>
    <w:p>
      <w:pPr>
        <w:pStyle w:val="Heading3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color w:val="0F1115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1.2. Подзаконные акты Правительства РФ </w:t>
      </w:r>
      <w:r>
        <w:rPr>
          <w:rFonts w:eastAsia="Liberation Serif" w:cs="Liberation Serif" w:ascii="Liberation Serif" w:hAnsi="Liberation Serif"/>
          <w:b w:val="false"/>
          <w:bCs w:val="false"/>
          <w:color w:val="0F1115"/>
          <w:sz w:val="28"/>
          <w:szCs w:val="28"/>
        </w:rPr>
        <w:t>(Постановления 2026 года).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Ключевым документом, вступившим в силу 20 января 2026 года, стало </w:t>
      </w: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Постановление Правительства РФ от 19.01.2026 № 7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. Оно внесло изменения сразу в несколько важнейших положений.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Анализ ключевых изменений:</w:t>
      </w:r>
    </w:p>
    <w:p>
      <w:pPr>
        <w:pStyle w:val="Normal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Положение о создании структурных подразделений (работников) по ГО (Постановление № 782):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Сущность: Уточнены критерии, по которым организации обязаны создавать штатные подразделения ГО. Ранее критерий зачастую был размытым.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Новелла: Исключена обязанность создавать такие подразделения для организаций, </w:t>
      </w: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не имеющих мобилизационных заданий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и не входящих в перечни организаций, обеспечивающих выполнение мероприятий ГО.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Направление деятельности обучаемых: Руководители организаций теперь должны четко понимать, относится ли их организация к категории по ГО. Если нет, обязанности по ГО могут быть возложены на одного из работников по совместительству, но не требуется создавать полноценный отдел.</w:t>
      </w:r>
    </w:p>
    <w:p>
      <w:pPr>
        <w:pStyle w:val="Normal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b w:val="false"/>
          <w:bCs w:val="false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Положение о накоплении запасов </w:t>
      </w:r>
      <w:r>
        <w:rPr>
          <w:rFonts w:eastAsia="Liberation Serif" w:cs="Liberation Serif" w:ascii="Liberation Serif" w:hAnsi="Liberation Serif"/>
          <w:b w:val="false"/>
          <w:bCs w:val="false"/>
          <w:color w:val="0F1115"/>
          <w:sz w:val="28"/>
          <w:szCs w:val="28"/>
        </w:rPr>
        <w:t>(Постановление Правительства РФ № 379 (ред. от 19.01.2026) «О накоплении, хранении и использовании в целях гражданской обороны запасов материально-технических, продовольственных, медицинских и иных средств»):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Сущность: Пересмотрено предназначение запасов.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Новелла: Запасы теперь предназначены исключительно для первоочередного жизнеобеспечения населения, пострадавшего в результате опасностей, возникающих в период мобилизации и в военное время.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Направление деятельности: Материально-ответственные лица и специалисты по снабжению должны пересмотреть номенклатуру запасов. Если раньше запасы могли списываться на ликвидацию наводнений (ЧС), то сейчас строго регламентировано их использование для целей ГО. Обучаемые должны знать порядок освежения и хранения этих запасов.</w:t>
      </w:r>
    </w:p>
    <w:p>
      <w:pPr>
        <w:pStyle w:val="Normal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b w:val="false"/>
          <w:bCs w:val="false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Положение о подготовке населения </w:t>
      </w:r>
      <w:r>
        <w:rPr>
          <w:rFonts w:eastAsia="Liberation Serif" w:cs="Liberation Serif" w:ascii="Liberation Serif" w:hAnsi="Liberation Serif"/>
          <w:b w:val="false"/>
          <w:bCs w:val="false"/>
          <w:color w:val="0F1115"/>
          <w:sz w:val="28"/>
          <w:szCs w:val="28"/>
        </w:rPr>
        <w:t>(Постановление Правительства РФ от 02.11.2000 N 841 (ред. от 19.01.2026) «Об утверждении Положения о подготовке населения в области гражданской обороны»):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Сущность: Приведение текста документа в соответствие с новым ФЗ.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Новелла: Из текста исключены отсылки к обучению действиям при «военных конфликтах», они заменены на обучение действиям при </w:t>
      </w: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«опасностях в период мобилизации, военного положения и военное время».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Направление деятельности: Это прямое указание методистам и преподавателям: необходимо обновить учебные программы, переработать тематические планы. Акцент в обучении рабочих и служащих смещается на отработку вводных, характерных для военного времени.</w:t>
      </w:r>
    </w:p>
    <w:p>
      <w:pPr>
        <w:pStyle w:val="Normal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b w:val="false"/>
          <w:bCs w:val="false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Положение о Правительственной комиссии </w:t>
      </w:r>
      <w:r>
        <w:rPr>
          <w:rFonts w:eastAsia="Liberation Serif" w:cs="Liberation Serif" w:ascii="Liberation Serif" w:hAnsi="Liberation Serif"/>
          <w:b w:val="false"/>
          <w:bCs w:val="false"/>
          <w:color w:val="0F1115"/>
          <w:sz w:val="28"/>
          <w:szCs w:val="28"/>
        </w:rPr>
        <w:t>(Постановление Правительства РФ от 14.01.2003 № 11 (ред. от 19.01.2026) «О Правительственной комиссии по предупреждению и ликвидации чрезвычайных ситуаций и обеспечению пожарной безопасности»):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Сущность: Расширение полномочий комиссии.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Новелла: Комиссия теперь официально является координационным органом </w:t>
      </w: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в области гражданской обороны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, а не только в области ЧС и пожарной безопасности.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Направление деятельности: Специалисты должны понимать, что механизмы координации между федеральными и региональными органами власти стали более жесткими. Планы взаимодействия должны быть синхронизированы на всех уровнях.</w:t>
      </w:r>
    </w:p>
    <w:p>
      <w:pPr>
        <w:pStyle w:val="Heading3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Heading3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1.3. Ведомственное регулирование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Важнейшим документом тактического планирования являются </w:t>
      </w: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«Организационно-методические указания по подготовке органов управления, сил ГО и РСЧС на 2026 год»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, утвержденные МЧС России 28.11.2025. Этот документ устанавливает: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Формы и методы обучения.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Нормативы по срокам обучения.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Порядок проведения учений и тренировок.Обучаемые (должностные лица) обязаны руководствоваться этими указаниями при составлении личных планов работы и планов комплектования формирований.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2. Региональный и муниципальный уровень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В связи с изменением федерального законодательства, субъекты РФ и муниципальные образования активно приводят свои нормативные акты в соответствие с федеральными.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Сущность регионального законотворчества: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Региональные законы не могут противоречить федеральным, но детализируют их применительно к местным условиям.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Ключевые новеллы регионального уровня: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Согласно Федеральному закону от 23.07.2025 года № 240-ФЗ «О внесении изменений в Федеральный закон «О гражданской обороне», высшие должностные лица субъектов Российской Федерации (губернаторы) наделены правом вводить в действие планы гражданской обороны и защиты населения соответствующих субъектов в полном объёме или частично по предложению руководителя федерального органа исполнительной власти, уполномоченного на решение задач в области гражданской обороны (например, МЧС России).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Ранее это полномочие принадлежало исключительно Президенту Российской Федерации. Изменение направлено на повышение оперативности принятия решений в области гражданской обороны.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При введении в действие Президентом РФ общефедерального Плана гражданской обороны и защиты населения субъекты действуют в его рамках.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Координацию деятельности органов власти и организаций при выполнении мероприятий по гражданской обороне осуществляют: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на федеральном уровне – Правительственная комиссия по предупреждению и ликвидации ЧС и обеспечению пожарной безопасности;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- на региональном уровне – комиссии субъектов РФ по предупреждению и ликвидации ЧС и обеспечению пожарной безопасности.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Направление деятельности обучаемых: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 На уровне органов исполнительной власти субъекта и органов местного самоуправления (ОМСУ) сотрудники, отвечающие за планирование, должны обеспечить постоянную актуализацию Планов ГО. Введение плана в действие – это не формальность, а сигнал к немедленному развертыванию системы управления и оповещения.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Уточнение полномочий по защите ценностей: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В законы вносится уточнение о полномочиях по подготовке к защите материальных и культурных ценностей.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Направление деятельности: Для организаций, имеющих на балансе объекты культурного наследия, это означает необходимость разработки отдельного раздела планов по вывозу (эвакуации) этих ценностей в безопасные районы. Обучаемые (руководители музеев, архивов, библиотек) должны пройти инструктажи по порядку упаковки и транспортировки ценностей.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/>
          <w:bCs/>
          <w:color w:val="0F1115"/>
          <w:sz w:val="28"/>
          <w:szCs w:val="28"/>
        </w:rPr>
        <w:t>Координация деятельности: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На региональном уровне закрепляется обязанность комиссий по ЧС (КЧС) и ОПБ обеспечивать согласованное функционирование всех уровней власти (федеральной, региональной, местной) при проведении мероприятий ГО.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3. Направления деятельности обучаемых по реализации законодательства.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Завершая теоретическую часть, перейдем к самому важному – практической реализации. Какова сущность деятельности конкретных людей (обучаемых) в свете рассмотренных нормативных актов?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Мы можем выделить три основные группы обучаемых и их направления деятельности:</w:t>
      </w:r>
    </w:p>
    <w:p>
      <w:pPr>
        <w:pStyle w:val="Heading3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Группа 1: Руководители организаций и должностные лица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Их деятельность регламентируется Постановлением Правительства РФ от 10.07.1999 N 782 (ред. от 19.01.2026) «О создании (назначении) в организациях структурных подразделений (работников), уполномоченных на решение задач в области гражданской обороны» и региональными законами.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Действия: Издание организационно-распорядительных документов.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Приказ о создании (назначении) структурного подразделения по ГО, только если организация имеет мобилизационное задание. Если нет – издать приказ о возложении обязанностей.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Приказ об организации накопления запасов. Важно: теперь запасы строго привязаны к военному времени. Нельзя использовать эти запасы для текущих нужд при ликвидации ЧС мирного времени.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Планирование эвакуации. Главы регионов и муниципалитетов обязаны держать в актуальном состоянии планы эвакуации населения и материальных ценностей.</w:t>
      </w:r>
    </w:p>
    <w:p>
      <w:pPr>
        <w:pStyle w:val="Heading3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b/>
          <w:bCs/>
          <w:color w:val="0F1115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Группа 2: Работники структурных подразделений по ГО (уполномоченные)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Их деятельность регламентируется Постановлением № 841 и методическими указаниями МЧС.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hanging="0" w:left="709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Действия: Организация обучения.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Обучение работающего населения. Необходимо организовать курсовое обучение по программам, скорректированным с учетом новых определений (опасности военного времени).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Подготовка формирований. Акцент на подготовку нештатных аварийно-спасательных формирований (НАСФ) и нештатных формирований по обеспечению выполнения мероприятий по ГО (НФГО) к действиям в условиях особого периода.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Ведение учета. Необходимо пересмотреть списки укрываемых в защитных сооружениях ГО, так как меняется категорирование населения.</w:t>
      </w:r>
    </w:p>
    <w:p>
      <w:pPr>
        <w:pStyle w:val="Heading3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eastAsia="Liberation Serif" w:cs="Liberation Serif"/>
          <w:b/>
          <w:bCs/>
          <w:color w:val="0F1115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Группа 3: Обучаемые (весь персонал организаций)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Для этой категории сущность реализации законодательства сводится к получению практических навыков.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hanging="0" w:left="709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Действия: Участие в учениях и тренировках.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Ежегодные командно-штабные учения (КШУ) и тактико-специальные учения (ТСУ) теперь проводятся с отработкой вводных о введении военного положения или мобилизации.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Отработка навыков использования СИЗ (противогазы, общевойсковые защитные комплекты), а также действий по сигналам оповещения ГО, которые были унифицированы на федеральном уровне.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 xml:space="preserve">Заключение 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Подводя итог нашей лекции, выделим главное. В 2026 году российское законодательство в области гражданской обороны совершило важный поворот: от системы, ориентированной на мирное время (ликвидация последствий ЧС), к системе, полноценно готовой к защите населения в</w:t>
      </w:r>
      <w:r>
        <w:rPr>
          <w:rFonts w:eastAsia="Liberation Serif" w:cs="Liberation Serif" w:ascii="Liberation Serif" w:hAnsi="Liberation Serif"/>
          <w:color w:val="000000"/>
          <w:sz w:val="28"/>
          <w:szCs w:val="28"/>
        </w:rPr>
        <w:t xml:space="preserve"> период мобилизации, в период действия военного положения, в военное время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Мы перешли от концепции «двойного назначения» (война/мир) к четкой ориентации на военные угрозы, при этом сохранив механизмы взаимодействия с системой РСЧС для защиты от природных и техногенных ЧС.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 xml:space="preserve">Усиление вертикали власти (губернаторы наделены правом вводить планы ГО), наделение спасателей новыми полномочиями (борьба с БПЛА) и введение новых стандартов (ГОСТ на маркировку) </w:t>
      </w:r>
      <w:r>
        <w:rPr>
          <w:rFonts w:eastAsia="Liberation Serif" w:cs="Liberation Serif" w:ascii="Liberation Serif" w:hAnsi="Liberation Serif"/>
          <w:b w:val="false"/>
          <w:bCs w:val="false"/>
          <w:color w:val="0F1115"/>
          <w:sz w:val="28"/>
          <w:szCs w:val="28"/>
        </w:rPr>
        <w:t xml:space="preserve">– 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это ответ на современные вызовы.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eastAsia="Liberation Serif" w:cs="Liberation Serif" w:ascii="Liberation Serif" w:hAnsi="Liberation Serif"/>
          <w:b w:val="false"/>
          <w:bCs w:val="false"/>
          <w:color w:val="0F1115"/>
          <w:sz w:val="28"/>
          <w:szCs w:val="28"/>
        </w:rPr>
        <w:t>Направление деятельности всех обучаемых – от рядового сотрудника до руководителя организации – заключается в обя</w:t>
      </w: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зательном исполнении этих норм. Это выражается в пересмотре планов, корректировке программ обучения, строгом соблюдении порядка накопления и хранения запасов, а главное – в качественной отработке практических навыков действий по сигналам «Воздушная тревога», «Химическая тревога» и при введении в действие планов ГО.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Спасибо за внимание.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hanging="0" w:left="0" w:righ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hanging="0" w:left="0" w:right="0"/>
        <w:jc w:val="center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</w:rPr>
      </w:pPr>
      <w:r>
        <w:rPr>
          <w:rFonts w:eastAsia="Liberation Serif" w:cs="Liberation Serif" w:ascii="Liberation Serif" w:hAnsi="Liberation Serif"/>
          <w:b/>
          <w:color w:val="0F1115"/>
          <w:sz w:val="28"/>
          <w:szCs w:val="28"/>
        </w:rPr>
        <w:t>Литература</w:t>
      </w:r>
    </w:p>
    <w:p>
      <w:pPr>
        <w:pStyle w:val="Heading2"/>
        <w:shd w:val="clear" w:color="FFFFFF" w:fill="FFFFFF"/>
        <w:spacing w:lineRule="auto" w:line="240" w:beforeAutospacing="0" w:before="0" w:afterAutospacing="0" w:after="0"/>
        <w:ind w:hanging="0" w:left="0" w:right="0"/>
        <w:jc w:val="center"/>
        <w:rPr>
          <w:rFonts w:ascii="Liberation Serif" w:hAnsi="Liberation Serif" w:cs="Liberation Serif"/>
          <w:b/>
          <w:bCs/>
          <w:color w:val="0F1115"/>
          <w:sz w:val="28"/>
          <w:szCs w:val="28"/>
          <w:highlight w:val="none"/>
        </w:rPr>
      </w:pPr>
      <w:r>
        <w:rPr>
          <w:rFonts w:cs="Liberation Serif" w:ascii="Liberation Serif" w:hAnsi="Liberation Serif"/>
          <w:b/>
          <w:bCs/>
          <w:color w:val="0F1115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1. Федеральный закон от 12.02.1998 № 28-ФЗ (ред. от 23.07.2025, нач. действ. ред. 20.01.2026) «О гражданской обороне».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2. Федеральный закон от 21.12.1994 № 68-ФЗ (ред. от 08.08.2024) «О защите населения и территорий от чрезвычайных ситуаций природного и техногенного характера»(с изм. и доп., вступ. в силу с 26.11.2024).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3. Федеральный закон от 21.12.1994 № 69-ФЗ (ред. от 31.07.2025) «О пожарной безопасности».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4. Федеральным законом от 23.07.2025 240-ФЗ «О внесении изменений в Федеральный закон «О гражданской обороне».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5. Постановление Правительства РФ от 02.11.2000 N 841 (ред. от 19.01.2026) «Об утверждении Положения о подготовке населения в области гражданской обороны».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6. Постановление Правительства РФ от 14.01.2003 № 11 (ред. от 19.01.2026) «О Правительственной комиссии по предупреждению и ликвидации чрезвычайных ситуаций и обеспечению пожарной безопасности».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 xml:space="preserve">7. Постановление Правительства РФ </w:t>
      </w: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spacing w:val="0"/>
          <w:sz w:val="28"/>
          <w:szCs w:val="28"/>
          <w:u w:val="none"/>
          <w:lang w:val="ru-RU"/>
        </w:rPr>
        <w:t xml:space="preserve">от 27.04.2000 </w:t>
      </w: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№ 379 (ред. от 19.01.2026) «О накоплении, хранении и использовании в целях гражданской обороны запасов материально-технических, продовольственных, медицинских и иных средств»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8. Постановлением Правительства РФ от 10.07.1999 N 782 (ред. от 19.01.2026) «О создании (назначении) в организациях структурных подразделений (работников), уполномоченных на решение задач в области гражданской обороны».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9. Постановление Правительства РФ от 30.12.2003 № 794 (ред. от 30.09.2025) «О единой государственной системе предупреждения и ликвидации чрезвычайных ситуаций».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10. Постановление Правительства РФ от 19.01.2026 № 7 «О внесении изменений в некоторые акты Правительства Российской Федерации».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11. Постановление Правительства Российской Федерации от 26.11.2007 № 804 (ред. от 19.01.2026) «Об утверждении Положения о гражданской обороне в Российской Федерации».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12. Распоряжение Правительства Российской Федерации от 14.10.2004 № 1327-р «Об организации обеспечения граждан информацией о чрезвычайных ситуациях и угрозе террористических актов с использованием современных технических средств массовой информации, устанавливаемых в местах массового пребывания людей».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13. ГОСТ Р 42.5.03-2025 (введен с 01.02.2026) «Гражданская оборона. Выявление и обозначение зон радиоактивного, химического, биологического заражения (загрязнения). Общие требования».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  <w14:ligatures w14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 xml:space="preserve">14. Приказ МЧС России от 03.02.2026 № 63 «Об утверждении Положения о Департаменте гражданской обороны и защиты населения Министерства Российской Федерации по делам гражданской обороны, </w:t>
      </w:r>
      <w:r>
        <w:rPr>
          <w:rFonts w:eastAsia="Liberation Serif" w:cs="Liberation Serif" w:ascii="Liberation Serif" w:hAnsi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чрезвычайным ситуациям и ликвидации последствий стихийных бедствий».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  <w14:ligatures w14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15. Распоряжение МЧС России от 14.11.2025 № 1013 «Об утверждении Программы профилактики рисков причинения вреда (ущерба) охраняемым законом ценностям в области гражданской обороны при осуществлении федерального государственного надзора в области гражданской обороны на 2026 год».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eastAsia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  <w14:ligatures w14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16. Методические рекомендации для органов государственной власти субъектов Российской Федерации по обучению мерам пожарной безопасности, 2012.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Liberation Serif" w:hAnsi="Liberation Serif" w:cs="Liberation Serif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</w:rPr>
      </w:pPr>
      <w:r>
        <w:rPr>
          <w:rFonts w:eastAsia="Liberation Serif" w:cs="Liberation Serif" w:ascii="Liberation Serif" w:hAnsi="Liberation Serif"/>
          <w:b w:val="false"/>
          <w:bCs w:val="false"/>
          <w:i w:val="false"/>
          <w:caps w:val="false"/>
          <w:smallCaps w:val="false"/>
          <w:strike w:val="false"/>
          <w:dstrike w:val="false"/>
          <w:color w:themeColor="dark1" w:val="000000"/>
          <w:spacing w:val="0"/>
          <w:sz w:val="28"/>
          <w:szCs w:val="28"/>
          <w:u w:val="none"/>
          <w:lang w:val="ru-RU"/>
        </w:rPr>
        <w:t>17. Руководство по действиям органов управления и сил РСЧС при угрозе и возникновении чрезвычайных ситуаций.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:highlight w:val="none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18. Организационно-методические указания по подготовке органов управления, сил гражданской обороны и единой государственной системы предупреждения и ликвидации чрезвычайных ситуаций на 2026 год (утв. МЧС России 28.11.2025 № ОМ-АК-1).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19. Гражданская оборона: учебник для вузов / Г.И. Беляков. – 2-е изд., перераб. и доп. – Москва: Издательство Юрайт, 2026. – 176 с. – (Высшее образование). – ISBN 978-5-534-16723-8.</w:t>
      </w:r>
    </w:p>
    <w:p>
      <w:pPr>
        <w:pStyle w:val="Normal"/>
        <w:shd w:val="clear" w:color="FFFFFF" w:fill="FFFFFF"/>
        <w:spacing w:lineRule="auto" w:line="240" w:beforeAutospacing="0" w:before="0" w:afterAutospacing="0" w:after="0"/>
        <w:ind w:firstLine="709" w:left="0" w:right="0"/>
        <w:jc w:val="both"/>
        <w:rPr>
          <w:rFonts w:ascii="Liberation Serif" w:hAnsi="Liberation Serif" w:cs="Liberation Serif"/>
          <w:color w:val="0F1115"/>
          <w:sz w:val="28"/>
          <w:szCs w:val="28"/>
          <w14:ligatures w14:val="none"/>
        </w:rPr>
      </w:pPr>
      <w:r>
        <w:rPr>
          <w:rFonts w:eastAsia="Liberation Serif" w:cs="Liberation Serif" w:ascii="Liberation Serif" w:hAnsi="Liberation Serif"/>
          <w:color w:val="0F1115"/>
          <w:sz w:val="28"/>
          <w:szCs w:val="28"/>
        </w:rPr>
        <w:t>20. Защита населения и территорий в чрезвычайных ситуациях: учебник для вузов / А. В. Рязанцева. – 4-е изд., перераб. и доп. – Москва: Издательство Юрайт, 2026. – 150 с. – ISBN 978-5-534-20020-1.</w:t>
      </w:r>
    </w:p>
    <w:sectPr>
      <w:headerReference w:type="default" r:id="rId2"/>
      <w:headerReference w:type="first" r:id="rId3"/>
      <w:footerReference w:type="first" r:id="rId4"/>
      <w:footnotePr>
        <w:numFmt w:val="decimal"/>
      </w:footnotePr>
      <w:type w:val="nextPage"/>
      <w:pgSz w:w="11906" w:h="16838"/>
      <w:pgMar w:left="1531" w:right="1134" w:gutter="0" w:header="720" w:top="1134" w:footer="72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Nimbus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spacing w:before="0" w:after="40"/>
        <w:ind w:firstLine="283" w:left="0" w:right="0"/>
        <w:jc w:val="both"/>
        <w:rPr>
          <w:rFonts w:ascii="Liberation Serif" w:hAnsi="Liberation Serif" w:cs="Liberation Serif"/>
          <w:b w:val="false"/>
          <w:bCs w:val="false"/>
          <w:sz w:val="20"/>
          <w:szCs w:val="20"/>
        </w:rPr>
      </w:pPr>
      <w:r>
        <w:rPr>
          <w:rStyle w:val="Style5"/>
        </w:rPr>
        <w:footnoteRef/>
      </w:r>
      <w:r>
        <w:rPr>
          <w:rFonts w:eastAsia="Liberation Serif" w:cs="Liberation Serif" w:ascii="Liberation Serif" w:hAnsi="Liberation Serif"/>
          <w:b w:val="false"/>
          <w:bCs w:val="false"/>
          <w:sz w:val="20"/>
          <w:szCs w:val="20"/>
        </w:rPr>
        <w:t xml:space="preserve"> </w:t>
      </w:r>
      <w:r>
        <w:rPr>
          <w:rFonts w:eastAsia="Liberation Serif" w:cs="Liberation Serif" w:ascii="Liberation Serif" w:hAnsi="Liberation Serif"/>
          <w:b w:val="false"/>
          <w:bCs w:val="false"/>
          <w:color w:val="0F1115"/>
          <w:sz w:val="20"/>
          <w:szCs w:val="20"/>
        </w:rPr>
        <w:t>ГОСТ Р 42.5.03-2025 «Гражданская оборона. Выявление и обозначение зон радиоактивного, химического, биологического заражения (загрязнения). Общие требования» (введен с 01.02.2026).</w:t>
      </w:r>
    </w:p>
  </w:footnote>
  <w:footnote w:id="3">
    <w:p>
      <w:pPr>
        <w:pStyle w:val="FootnoteText"/>
        <w:spacing w:before="0" w:after="40"/>
        <w:ind w:firstLine="283" w:left="0" w:right="0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Style w:val="Style5"/>
        </w:rPr>
        <w:footnoteRef/>
      </w:r>
      <w:r>
        <w:rPr>
          <w:rFonts w:eastAsia="Liberation Serif" w:cs="Liberation Serif" w:ascii="Liberation Serif" w:hAnsi="Liberation Serif"/>
          <w:sz w:val="20"/>
          <w:szCs w:val="20"/>
        </w:rPr>
        <w:t xml:space="preserve"> </w:t>
      </w:r>
      <w:r>
        <w:rPr>
          <w:rFonts w:eastAsia="Liberation Serif" w:cs="Liberation Serif" w:ascii="Liberation Serif" w:hAnsi="Liberation Serif"/>
          <w:color w:val="0F1115"/>
          <w:sz w:val="20"/>
          <w:szCs w:val="20"/>
        </w:rPr>
        <w:t>Постановление Правительства РФ от 10.07.1999 № 782 «О создании (назначении) в организациях структурных подразделений (работников), уполномоченных на решение задач в области гражданской обороны» (в ред. от 19.01.2026).</w:t>
      </w:r>
    </w:p>
  </w:footnote>
  <w:footnote w:id="4">
    <w:p>
      <w:pPr>
        <w:pStyle w:val="FootnoteText"/>
        <w:spacing w:before="0" w:after="40"/>
        <w:ind w:firstLine="283" w:left="0" w:right="0"/>
        <w:jc w:val="both"/>
        <w:rPr>
          <w:rFonts w:ascii="Liberation Serif" w:hAnsi="Liberation Serif" w:eastAsia="Liberation Serif" w:cs="Liberation Serif"/>
          <w:color w:val="0F1115"/>
          <w:sz w:val="20"/>
          <w:szCs w:val="20"/>
          <w14:ligatures w14:val="none"/>
        </w:rPr>
      </w:pPr>
      <w:r>
        <w:rPr>
          <w:rStyle w:val="Style5"/>
        </w:rPr>
        <w:footnoteRef/>
      </w:r>
      <w:r>
        <w:rPr>
          <w:rFonts w:eastAsia="Liberation Serif" w:cs="Liberation Serif" w:ascii="Liberation Serif" w:hAnsi="Liberation Serif"/>
          <w:color w:val="0F1115"/>
          <w:sz w:val="20"/>
          <w:szCs w:val="20"/>
        </w:rPr>
        <w:t xml:space="preserve"> </w:t>
      </w:r>
      <w:r>
        <w:rPr>
          <w:rFonts w:eastAsia="Liberation Serif" w:cs="Liberation Serif" w:ascii="Liberation Serif" w:hAnsi="Liberation Serif"/>
          <w:color w:val="0F1115"/>
          <w:sz w:val="20"/>
          <w:szCs w:val="20"/>
        </w:rPr>
        <w:t>Постановление Правительства РФ от 27.04.2000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(в ред. от 19.01.2026).</w:t>
      </w:r>
    </w:p>
  </w:footnote>
  <w:footnote w:id="5">
    <w:p>
      <w:pPr>
        <w:pStyle w:val="FootnoteText"/>
        <w:spacing w:before="0" w:after="40"/>
        <w:ind w:firstLine="283" w:left="0" w:right="0"/>
        <w:jc w:val="both"/>
        <w:rPr>
          <w:rFonts w:ascii="Liberation Serif" w:hAnsi="Liberation Serif" w:eastAsia="Liberation Serif" w:cs="Liberation Serif"/>
          <w:color w:val="0F1115"/>
          <w:sz w:val="28"/>
          <w:szCs w:val="28"/>
          <w14:ligatures w14:val="none"/>
        </w:rPr>
      </w:pPr>
      <w:r>
        <w:rPr>
          <w:rStyle w:val="Style5"/>
        </w:rPr>
        <w:footnoteRef/>
      </w:r>
      <w:r>
        <w:rPr>
          <w:rFonts w:eastAsia="Liberation Serif" w:cs="Liberation Serif" w:ascii="Liberation Serif" w:hAnsi="Liberation Serif"/>
          <w:color w:val="0F1115"/>
          <w:sz w:val="20"/>
          <w:szCs w:val="20"/>
        </w:rPr>
        <w:t xml:space="preserve"> </w:t>
      </w:r>
      <w:r>
        <w:rPr>
          <w:rFonts w:eastAsia="Liberation Serif" w:cs="Liberation Serif" w:ascii="Liberation Serif" w:hAnsi="Liberation Serif"/>
          <w:color w:val="0F1115"/>
          <w:sz w:val="20"/>
          <w:szCs w:val="20"/>
        </w:rPr>
        <w:t>Постановление Правительства РФ от 02.11.2000 № 841 «Об утверждении Положения о подготовке населения в области гражданской обороны» (в ред. от 19.01.2026).</w:t>
      </w:r>
    </w:p>
  </w:footnote>
  <w:footnote w:id="6">
    <w:p>
      <w:pPr>
        <w:pStyle w:val="FootnoteText"/>
        <w:spacing w:before="0" w:after="40"/>
        <w:ind w:firstLine="283" w:left="0" w:right="0"/>
        <w:jc w:val="both"/>
        <w:rPr>
          <w:rFonts w:ascii="Liberation Serif" w:hAnsi="Liberation Serif" w:eastAsia="Liberation Serif" w:cs="Liberation Serif"/>
          <w:color w:val="0F1115"/>
          <w:sz w:val="20"/>
          <w:szCs w:val="20"/>
          <w14:ligatures w14:val="none"/>
        </w:rPr>
      </w:pPr>
      <w:r>
        <w:rPr>
          <w:rStyle w:val="Style5"/>
        </w:rPr>
        <w:footnoteRef/>
      </w:r>
      <w:r>
        <w:rPr/>
        <w:t xml:space="preserve"> </w:t>
      </w:r>
      <w:r>
        <w:rPr>
          <w:rFonts w:eastAsia="Liberation Serif" w:cs="Liberation Serif" w:ascii="Liberation Serif" w:hAnsi="Liberation Serif"/>
          <w:color w:val="0F1115"/>
          <w:sz w:val="20"/>
          <w:szCs w:val="20"/>
        </w:rPr>
        <w:t>Приказ МЧС России от 03.02.2026 № 63 «Об утверждении Положения о Департаменте гражданской обороны и защиты населения». </w:t>
      </w:r>
    </w:p>
  </w:footnote>
  <w:footnote w:id="7">
    <w:p>
      <w:pPr>
        <w:pStyle w:val="FootnoteText"/>
        <w:ind w:firstLine="283" w:left="0" w:right="0"/>
        <w:jc w:val="both"/>
        <w:rPr>
          <w:rFonts w:ascii="Liberation Serif" w:hAnsi="Liberation Serif" w:eastAsia="Liberation Serif" w:cs="Liberation Serif"/>
          <w:color w:val="0F1115"/>
          <w:sz w:val="20"/>
          <w:szCs w:val="20"/>
          <w14:ligatures w14:val="none"/>
        </w:rPr>
      </w:pPr>
      <w:r>
        <w:rPr>
          <w:rStyle w:val="Style5"/>
        </w:rPr>
        <w:footnoteRef/>
      </w:r>
      <w:r>
        <w:rPr/>
        <w:t xml:space="preserve"> </w:t>
      </w:r>
      <w:r>
        <w:rPr>
          <w:rFonts w:eastAsia="Liberation Serif" w:cs="Liberation Serif" w:ascii="Liberation Serif" w:hAnsi="Liberation Serif"/>
          <w:color w:val="0F1115"/>
          <w:sz w:val="20"/>
          <w:szCs w:val="20"/>
        </w:rPr>
        <w:t>Распоряжение МЧС России от 14.11.2025 № 1013 «Об утверждении Программы профилактики рисков причинения вреда (ущерба) охраняемым законом ценностям в области гражданской обороны при осуществлении федерального государственного надзора в области гражданской обороны на 2026 год».</w:t>
      </w:r>
    </w:p>
    <w:p>
      <w:pPr>
        <w:pStyle w:val="FootnoteText"/>
        <w:spacing w:lineRule="auto" w:line="240" w:before="0" w:after="40"/>
        <w:rPr/>
      </w:pPr>
      <w:r>
        <w:rPr/>
      </w:r>
    </w:p>
  </w:footnote>
  <w:footnote w:id="8">
    <w:p>
      <w:pPr>
        <w:pStyle w:val="FootnoteText"/>
        <w:spacing w:before="0" w:after="40"/>
        <w:ind w:firstLine="283" w:left="0" w:right="0"/>
        <w:jc w:val="both"/>
        <w:rPr>
          <w:rFonts w:ascii="Liberation Serif" w:hAnsi="Liberation Serif" w:eastAsia="Liberation Serif" w:cs="Liberation Serif"/>
          <w:color w:val="0F1115"/>
          <w:sz w:val="20"/>
          <w:szCs w:val="20"/>
          <w14:ligatures w14:val="none"/>
        </w:rPr>
      </w:pPr>
      <w:r>
        <w:rPr>
          <w:rStyle w:val="Style5"/>
        </w:rPr>
        <w:footnoteRef/>
      </w:r>
      <w:r>
        <w:rPr/>
        <w:t xml:space="preserve"> </w:t>
      </w:r>
      <w:r>
        <w:rPr>
          <w:rFonts w:eastAsia="Liberation Serif" w:cs="Liberation Serif" w:ascii="Liberation Serif" w:hAnsi="Liberation Serif"/>
          <w:color w:val="0F1115"/>
          <w:sz w:val="20"/>
          <w:szCs w:val="20"/>
        </w:rPr>
        <w:t>Федеральный закон от 23.07.2025 № 240-ФЗ «О внесении изменений в Федеральный закон «О гражданской обороне».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WenQuanYi Micro Hei" w:cs="Lohit Devanagari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 w:customStyle="1">
    <w:name w:val="Normal"/>
    <w:basedOn w:val="DStyleparagraph"/>
    <w:qFormat/>
    <w:pPr>
      <w:suppressAutoHyphens w:val="false"/>
    </w:pPr>
    <w:rPr/>
  </w:style>
  <w:style w:type="paragraph" w:styleId="Heading1" w:customStyle="1">
    <w:name w:val="Heading 1"/>
    <w:basedOn w:val="Normal"/>
    <w:qFormat/>
    <w:pPr>
      <w:spacing w:before="480" w:after="200"/>
    </w:pPr>
    <w:rPr>
      <w:rFonts w:ascii="Liberation Sans" w:hAnsi="Liberation Sans" w:cs="Liberation Sans"/>
      <w:sz w:val="40"/>
    </w:rPr>
  </w:style>
  <w:style w:type="paragraph" w:styleId="Heading2" w:customStyle="1">
    <w:name w:val="Heading 2"/>
    <w:basedOn w:val="Normal"/>
    <w:qFormat/>
    <w:pPr>
      <w:spacing w:before="360" w:after="200"/>
    </w:pPr>
    <w:rPr>
      <w:rFonts w:ascii="Liberation Sans" w:hAnsi="Liberation Sans" w:cs="Liberation Sans"/>
      <w:sz w:val="34"/>
    </w:rPr>
  </w:style>
  <w:style w:type="paragraph" w:styleId="Heading3" w:customStyle="1">
    <w:name w:val="Heading 3"/>
    <w:basedOn w:val="Normal"/>
    <w:qFormat/>
    <w:pPr>
      <w:spacing w:before="320" w:after="200"/>
    </w:pPr>
    <w:rPr>
      <w:rFonts w:ascii="Liberation Sans" w:hAnsi="Liberation Sans" w:cs="Liberation Sans"/>
      <w:sz w:val="30"/>
    </w:rPr>
  </w:style>
  <w:style w:type="paragraph" w:styleId="Heading4" w:customStyle="1">
    <w:name w:val="Heading 4"/>
    <w:basedOn w:val="Normal"/>
    <w:qFormat/>
    <w:pPr>
      <w:spacing w:before="320" w:after="200"/>
    </w:pPr>
    <w:rPr>
      <w:rFonts w:ascii="Liberation Sans" w:hAnsi="Liberation Sans" w:cs="Liberation Sans"/>
      <w:b/>
      <w:sz w:val="26"/>
    </w:rPr>
  </w:style>
  <w:style w:type="paragraph" w:styleId="Heading5" w:customStyle="1">
    <w:name w:val="Heading 5"/>
    <w:basedOn w:val="Normal"/>
    <w:qFormat/>
    <w:pPr>
      <w:spacing w:before="320" w:after="200"/>
    </w:pPr>
    <w:rPr>
      <w:rFonts w:ascii="Liberation Sans" w:hAnsi="Liberation Sans" w:cs="Liberation Sans"/>
      <w:b/>
      <w:sz w:val="24"/>
    </w:rPr>
  </w:style>
  <w:style w:type="paragraph" w:styleId="Heading6" w:customStyle="1">
    <w:name w:val="Heading 6"/>
    <w:basedOn w:val="Normal"/>
    <w:qFormat/>
    <w:pPr>
      <w:spacing w:before="320" w:after="200"/>
    </w:pPr>
    <w:rPr>
      <w:rFonts w:ascii="Liberation Sans" w:hAnsi="Liberation Sans" w:cs="Liberation Sans"/>
      <w:b/>
      <w:sz w:val="22"/>
    </w:rPr>
  </w:style>
  <w:style w:type="paragraph" w:styleId="Heading7" w:customStyle="1">
    <w:name w:val="Heading 7"/>
    <w:basedOn w:val="Normal"/>
    <w:qFormat/>
    <w:pPr>
      <w:spacing w:before="320" w:after="200"/>
    </w:pPr>
    <w:rPr>
      <w:rFonts w:ascii="Liberation Sans" w:hAnsi="Liberation Sans" w:cs="Liberation Sans"/>
      <w:b/>
      <w:i/>
      <w:sz w:val="22"/>
    </w:rPr>
  </w:style>
  <w:style w:type="paragraph" w:styleId="Heading8" w:customStyle="1">
    <w:name w:val="Heading 8"/>
    <w:basedOn w:val="Normal"/>
    <w:qFormat/>
    <w:pPr>
      <w:spacing w:before="320" w:after="200"/>
    </w:pPr>
    <w:rPr>
      <w:rFonts w:ascii="Liberation Sans" w:hAnsi="Liberation Sans" w:cs="Liberation Sans"/>
      <w:i/>
      <w:sz w:val="22"/>
    </w:rPr>
  </w:style>
  <w:style w:type="paragraph" w:styleId="Heading9" w:customStyle="1">
    <w:name w:val="Heading 9"/>
    <w:basedOn w:val="Normal"/>
    <w:qFormat/>
    <w:pPr>
      <w:spacing w:before="320" w:after="200"/>
    </w:pPr>
    <w:rPr>
      <w:rFonts w:ascii="Liberation Sans" w:hAnsi="Liberation Sans" w:cs="Liberation Sans"/>
      <w:i/>
      <w:sz w:val="21"/>
    </w:rPr>
  </w:style>
  <w:style w:type="character" w:styleId="DStyletext" w:customStyle="1">
    <w:name w:val="DStyle_text"/>
    <w:qFormat/>
    <w:rPr>
      <w:lang w:val="ru-RU"/>
    </w:rPr>
  </w:style>
  <w:style w:type="character" w:styleId="Heading1Char" w:customStyle="1">
    <w:name w:val="Heading 1 Char"/>
    <w:qFormat/>
    <w:rPr>
      <w:rFonts w:ascii="Liberation Sans" w:hAnsi="Liberation Sans" w:cs="Liberation Sans"/>
      <w:sz w:val="40"/>
    </w:rPr>
  </w:style>
  <w:style w:type="character" w:styleId="Heading2Char" w:customStyle="1">
    <w:name w:val="Heading 2 Char"/>
    <w:qFormat/>
    <w:rPr>
      <w:rFonts w:ascii="Liberation Sans" w:hAnsi="Liberation Sans" w:cs="Liberation Sans"/>
      <w:sz w:val="34"/>
    </w:rPr>
  </w:style>
  <w:style w:type="character" w:styleId="Heading3Char" w:customStyle="1">
    <w:name w:val="Heading 3 Char"/>
    <w:qFormat/>
    <w:rPr>
      <w:rFonts w:ascii="Liberation Sans" w:hAnsi="Liberation Sans" w:cs="Liberation Sans"/>
      <w:sz w:val="30"/>
    </w:rPr>
  </w:style>
  <w:style w:type="character" w:styleId="Heading4Char" w:customStyle="1">
    <w:name w:val="Heading 4 Char"/>
    <w:qFormat/>
    <w:rPr>
      <w:rFonts w:ascii="Liberation Sans" w:hAnsi="Liberation Sans" w:cs="Liberation Sans"/>
      <w:b/>
      <w:sz w:val="26"/>
    </w:rPr>
  </w:style>
  <w:style w:type="character" w:styleId="Heading5Char" w:customStyle="1">
    <w:name w:val="Heading 5 Char"/>
    <w:qFormat/>
    <w:rPr>
      <w:rFonts w:ascii="Liberation Sans" w:hAnsi="Liberation Sans" w:cs="Liberation Sans"/>
      <w:b/>
      <w:sz w:val="24"/>
    </w:rPr>
  </w:style>
  <w:style w:type="character" w:styleId="Heading6Char" w:customStyle="1">
    <w:name w:val="Heading 6 Char"/>
    <w:qFormat/>
    <w:rPr>
      <w:rFonts w:ascii="Liberation Sans" w:hAnsi="Liberation Sans" w:cs="Liberation Sans"/>
      <w:b/>
      <w:sz w:val="22"/>
    </w:rPr>
  </w:style>
  <w:style w:type="character" w:styleId="Heading7Char" w:customStyle="1">
    <w:name w:val="Heading 7 Char"/>
    <w:qFormat/>
    <w:rPr>
      <w:rFonts w:ascii="Liberation Sans" w:hAnsi="Liberation Sans" w:cs="Liberation Sans"/>
      <w:b/>
      <w:i/>
      <w:sz w:val="22"/>
    </w:rPr>
  </w:style>
  <w:style w:type="character" w:styleId="Heading8Char" w:customStyle="1">
    <w:name w:val="Heading 8 Char"/>
    <w:qFormat/>
    <w:rPr>
      <w:rFonts w:ascii="Liberation Sans" w:hAnsi="Liberation Sans" w:cs="Liberation Sans"/>
      <w:i/>
      <w:sz w:val="22"/>
    </w:rPr>
  </w:style>
  <w:style w:type="character" w:styleId="Heading9Char" w:customStyle="1">
    <w:name w:val="Heading 9 Char"/>
    <w:qFormat/>
    <w:rPr>
      <w:rFonts w:ascii="Liberation Sans" w:hAnsi="Liberation Sans" w:cs="Liberation Sans"/>
      <w:i/>
      <w:sz w:val="21"/>
    </w:rPr>
  </w:style>
  <w:style w:type="character" w:styleId="TitleChar" w:customStyle="1">
    <w:name w:val="Title Char"/>
    <w:qFormat/>
    <w:rPr>
      <w:sz w:val="48"/>
    </w:rPr>
  </w:style>
  <w:style w:type="character" w:styleId="SubtitleChar" w:customStyle="1">
    <w:name w:val="Subtitle Char"/>
    <w:qFormat/>
    <w:rPr>
      <w:sz w:val="24"/>
    </w:rPr>
  </w:style>
  <w:style w:type="character" w:styleId="QuoteChar" w:customStyle="1">
    <w:name w:val="Quote Char"/>
    <w:qFormat/>
    <w:rPr>
      <w:i/>
    </w:rPr>
  </w:style>
  <w:style w:type="character" w:styleId="IntenseQuoteChar" w:customStyle="1">
    <w:name w:val="Intense Quote Char"/>
    <w:qFormat/>
    <w:rPr>
      <w:i/>
    </w:rPr>
  </w:style>
  <w:style w:type="character" w:styleId="HeaderChar" w:customStyle="1">
    <w:name w:val="Header Char"/>
    <w:qFormat/>
    <w:rPr/>
  </w:style>
  <w:style w:type="character" w:styleId="FooterChar" w:customStyle="1">
    <w:name w:val="Footer Char"/>
    <w:qFormat/>
    <w:rPr/>
  </w:style>
  <w:style w:type="character" w:styleId="CaptionChar" w:customStyle="1">
    <w:name w:val="Caption Char"/>
    <w:qFormat/>
    <w:rPr>
      <w:b/>
      <w:color w:val="4F81BD"/>
      <w:sz w:val="18"/>
    </w:rPr>
  </w:style>
  <w:style w:type="character" w:styleId="Hyperlink" w:customStyle="1">
    <w:name w:val="Hyperlink"/>
    <w:qFormat/>
    <w:rPr>
      <w:color w:val="0000FF"/>
      <w:u w:val="single"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FootnoteTextChar" w:customStyle="1">
    <w:name w:val="Footnote Text Char"/>
    <w:qFormat/>
    <w:rPr>
      <w:sz w:val="18"/>
    </w:rPr>
  </w:style>
  <w:style w:type="character" w:styleId="Style5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 w:customStyle="1">
    <w:name w:val="Endnote Text Char"/>
    <w:qFormat/>
    <w:rPr>
      <w:sz w:val="20"/>
    </w:rPr>
  </w:style>
  <w:style w:type="character" w:styleId="Style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qFormat/>
    <w:rPr/>
  </w:style>
  <w:style w:type="character" w:styleId="T1" w:customStyle="1">
    <w:name w:val="T1"/>
    <w:qFormat/>
    <w:rPr>
      <w:rFonts w:ascii="Liberation Sans" w:hAnsi="Liberation Sans" w:cs="Liberation Sans"/>
      <w:color w:val="0F1115"/>
    </w:rPr>
  </w:style>
  <w:style w:type="character" w:styleId="T2" w:customStyle="1">
    <w:name w:val="T2"/>
    <w:qFormat/>
    <w:rPr>
      <w:rFonts w:ascii="Symbol" w:hAnsi="Symbol" w:cs="Symbol"/>
      <w:color w:val="0F1115"/>
    </w:rPr>
  </w:style>
  <w:style w:type="character" w:styleId="T3" w:customStyle="1">
    <w:name w:val="T3"/>
    <w:qFormat/>
    <w:rPr>
      <w:rFonts w:ascii="Symbol" w:hAnsi="Symbol" w:cs="Symbol"/>
      <w:color w:val="0F1115"/>
    </w:rPr>
  </w:style>
  <w:style w:type="character" w:styleId="T4" w:customStyle="1">
    <w:name w:val="T4"/>
    <w:qFormat/>
    <w:rPr>
      <w:rFonts w:ascii="Symbol" w:hAnsi="Symbol" w:cs="Symbol"/>
      <w:color w:val="0F1115"/>
    </w:rPr>
  </w:style>
  <w:style w:type="character" w:styleId="T5" w:customStyle="1">
    <w:name w:val="T5"/>
    <w:qFormat/>
    <w:rPr>
      <w:rFonts w:ascii="Symbol" w:hAnsi="Symbol" w:cs="Symbol"/>
      <w:color w:val="0F1115"/>
    </w:rPr>
  </w:style>
  <w:style w:type="character" w:styleId="T6" w:customStyle="1">
    <w:name w:val="T6"/>
    <w:qFormat/>
    <w:rPr>
      <w:rFonts w:ascii="Symbol" w:hAnsi="Symbol" w:cs="Symbol"/>
      <w:color w:val="0F1115"/>
    </w:rPr>
  </w:style>
  <w:style w:type="character" w:styleId="T7" w:customStyle="1">
    <w:name w:val="T7"/>
    <w:qFormat/>
    <w:rPr>
      <w:rFonts w:ascii="Symbol" w:hAnsi="Symbol" w:cs="Symbol"/>
      <w:color w:val="0F1115"/>
    </w:rPr>
  </w:style>
  <w:style w:type="character" w:styleId="T8" w:customStyle="1">
    <w:name w:val="T8"/>
    <w:qFormat/>
    <w:rPr>
      <w:rFonts w:ascii="Symbol" w:hAnsi="Symbol" w:cs="Symbol"/>
      <w:color w:val="0F1115"/>
    </w:rPr>
  </w:style>
  <w:style w:type="character" w:styleId="T9" w:customStyle="1">
    <w:name w:val="T9"/>
    <w:qFormat/>
    <w:rPr>
      <w:rFonts w:ascii="Symbol" w:hAnsi="Symbol" w:cs="Symbol"/>
      <w:color w:val="0F1115"/>
    </w:rPr>
  </w:style>
  <w:style w:type="character" w:styleId="T10" w:customStyle="1">
    <w:name w:val="T10"/>
    <w:qFormat/>
    <w:rPr>
      <w:rFonts w:ascii="Symbol" w:hAnsi="Symbol" w:cs="Symbol"/>
      <w:color w:val="0F1115"/>
    </w:rPr>
  </w:style>
  <w:style w:type="character" w:styleId="T11" w:customStyle="1">
    <w:name w:val="T11"/>
    <w:qFormat/>
    <w:rPr>
      <w:rFonts w:ascii="Symbol" w:hAnsi="Symbol" w:cs="Symbol"/>
      <w:color w:val="0F1115"/>
    </w:rPr>
  </w:style>
  <w:style w:type="character" w:styleId="T12" w:customStyle="1">
    <w:name w:val="T12"/>
    <w:qFormat/>
    <w:rPr>
      <w:rFonts w:ascii="Symbol" w:hAnsi="Symbol" w:cs="Symbol"/>
      <w:color w:val="0F1115"/>
    </w:rPr>
  </w:style>
  <w:style w:type="character" w:styleId="T13" w:customStyle="1">
    <w:name w:val="T13"/>
    <w:qFormat/>
    <w:rPr>
      <w:rFonts w:ascii="Symbol" w:hAnsi="Symbol" w:cs="Symbol"/>
      <w:color w:val="0F1115"/>
    </w:rPr>
  </w:style>
  <w:style w:type="character" w:styleId="T14" w:customStyle="1">
    <w:name w:val="T14"/>
    <w:qFormat/>
    <w:rPr>
      <w:rFonts w:ascii="Symbol" w:hAnsi="Symbol" w:cs="Symbol"/>
      <w:color w:val="0F1115"/>
    </w:rPr>
  </w:style>
  <w:style w:type="character" w:styleId="T15" w:customStyle="1">
    <w:name w:val="T15"/>
    <w:qFormat/>
    <w:rPr>
      <w:rFonts w:ascii="Symbol" w:hAnsi="Symbol" w:cs="Symbol"/>
      <w:color w:val="0F1115"/>
    </w:rPr>
  </w:style>
  <w:style w:type="character" w:styleId="T16" w:customStyle="1">
    <w:name w:val="T16"/>
    <w:qFormat/>
    <w:rPr>
      <w:rFonts w:ascii="Symbol" w:hAnsi="Symbol" w:cs="Symbol"/>
      <w:color w:val="0F1115"/>
    </w:rPr>
  </w:style>
  <w:style w:type="character" w:styleId="T17" w:customStyle="1">
    <w:name w:val="T17"/>
    <w:qFormat/>
    <w:rPr>
      <w:rFonts w:ascii="Symbol" w:hAnsi="Symbol" w:cs="Symbol"/>
      <w:color w:val="0F1115"/>
    </w:rPr>
  </w:style>
  <w:style w:type="character" w:styleId="T18" w:customStyle="1">
    <w:name w:val="T18"/>
    <w:qFormat/>
    <w:rPr>
      <w:rFonts w:ascii="Symbol" w:hAnsi="Symbol" w:cs="Symbol"/>
      <w:color w:val="0F1115"/>
    </w:rPr>
  </w:style>
  <w:style w:type="character" w:styleId="T19" w:customStyle="1">
    <w:name w:val="T19"/>
    <w:qFormat/>
    <w:rPr>
      <w:rFonts w:ascii="Symbol" w:hAnsi="Symbol" w:cs="Symbol"/>
      <w:color w:val="0F1115"/>
    </w:rPr>
  </w:style>
  <w:style w:type="character" w:styleId="T20" w:customStyle="1">
    <w:name w:val="T20"/>
    <w:qFormat/>
    <w:rPr>
      <w:rFonts w:ascii="Liberation Sans" w:hAnsi="Liberation Sans" w:cs="Liberation Sans"/>
      <w:color w:val="0F1115"/>
    </w:rPr>
  </w:style>
  <w:style w:type="character" w:styleId="T21" w:customStyle="1">
    <w:name w:val="T21"/>
    <w:qFormat/>
    <w:rPr>
      <w:rFonts w:ascii="Symbol" w:hAnsi="Symbol" w:cs="Symbol"/>
      <w:color w:val="0F1115"/>
    </w:rPr>
  </w:style>
  <w:style w:type="character" w:styleId="T22" w:customStyle="1">
    <w:name w:val="T22"/>
    <w:qFormat/>
    <w:rPr>
      <w:rFonts w:ascii="Symbol" w:hAnsi="Symbol" w:cs="Symbol"/>
      <w:color w:val="0F1115"/>
    </w:rPr>
  </w:style>
  <w:style w:type="character" w:styleId="T23" w:customStyle="1">
    <w:name w:val="T23"/>
    <w:qFormat/>
    <w:rPr>
      <w:rFonts w:ascii="Symbol" w:hAnsi="Symbol" w:cs="Symbol"/>
      <w:color w:val="0F1115"/>
    </w:rPr>
  </w:style>
  <w:style w:type="character" w:styleId="T24" w:customStyle="1">
    <w:name w:val="T24"/>
    <w:qFormat/>
    <w:rPr>
      <w:rFonts w:ascii="Symbol" w:hAnsi="Symbol" w:cs="Symbol"/>
      <w:color w:val="0F1115"/>
    </w:rPr>
  </w:style>
  <w:style w:type="character" w:styleId="T25" w:customStyle="1">
    <w:name w:val="T25"/>
    <w:qFormat/>
    <w:rPr>
      <w:rFonts w:ascii="Symbol" w:hAnsi="Symbol" w:cs="Symbol"/>
      <w:color w:val="0F1115"/>
    </w:rPr>
  </w:style>
  <w:style w:type="character" w:styleId="T26" w:customStyle="1">
    <w:name w:val="T26"/>
    <w:qFormat/>
    <w:rPr>
      <w:rFonts w:ascii="Symbol" w:hAnsi="Symbol" w:cs="Symbol"/>
      <w:color w:val="0F1115"/>
    </w:rPr>
  </w:style>
  <w:style w:type="character" w:styleId="T27" w:customStyle="1">
    <w:name w:val="T27"/>
    <w:qFormat/>
    <w:rPr>
      <w:rFonts w:ascii="Symbol" w:hAnsi="Symbol" w:cs="Symbol"/>
      <w:color w:val="0F1115"/>
    </w:rPr>
  </w:style>
  <w:style w:type="character" w:styleId="T28" w:customStyle="1">
    <w:name w:val="T28"/>
    <w:qFormat/>
    <w:rPr>
      <w:rFonts w:ascii="Symbol" w:hAnsi="Symbol" w:cs="Symbol"/>
      <w:color w:val="0F1115"/>
    </w:rPr>
  </w:style>
  <w:style w:type="character" w:styleId="T29" w:customStyle="1">
    <w:name w:val="T29"/>
    <w:qFormat/>
    <w:rPr>
      <w:rFonts w:ascii="Symbol" w:hAnsi="Symbol" w:cs="Symbol"/>
      <w:color w:val="0F1115"/>
    </w:rPr>
  </w:style>
  <w:style w:type="character" w:styleId="T30" w:customStyle="1">
    <w:name w:val="T30"/>
    <w:qFormat/>
    <w:rPr>
      <w:rFonts w:ascii="Liberation Sans" w:hAnsi="Liberation Sans" w:cs="Liberation Sans"/>
      <w:color w:val="0F1115"/>
    </w:rPr>
  </w:style>
  <w:style w:type="character" w:styleId="T31" w:customStyle="1">
    <w:name w:val="T31"/>
    <w:qFormat/>
    <w:rPr>
      <w:rFonts w:ascii="Symbol" w:hAnsi="Symbol" w:cs="Symbol"/>
      <w:color w:val="0F1115"/>
    </w:rPr>
  </w:style>
  <w:style w:type="character" w:styleId="T32" w:customStyle="1">
    <w:name w:val="T32"/>
    <w:qFormat/>
    <w:rPr>
      <w:rFonts w:ascii="Symbol" w:hAnsi="Symbol" w:cs="Symbol"/>
      <w:color w:val="0F1115"/>
    </w:rPr>
  </w:style>
  <w:style w:type="character" w:styleId="T33" w:customStyle="1">
    <w:name w:val="T33"/>
    <w:qFormat/>
    <w:rPr>
      <w:rFonts w:ascii="Symbol" w:hAnsi="Symbol" w:cs="Symbol"/>
      <w:color w:val="0F1115"/>
    </w:rPr>
  </w:style>
  <w:style w:type="character" w:styleId="T34" w:customStyle="1">
    <w:name w:val="T34"/>
    <w:qFormat/>
    <w:rPr>
      <w:rFonts w:ascii="Symbol" w:hAnsi="Symbol" w:cs="Symbol"/>
      <w:color w:val="0F1115"/>
    </w:rPr>
  </w:style>
  <w:style w:type="character" w:styleId="T35" w:customStyle="1">
    <w:name w:val="T35"/>
    <w:qFormat/>
    <w:rPr>
      <w:rFonts w:ascii="Symbol" w:hAnsi="Symbol" w:cs="Symbol"/>
      <w:color w:val="0F1115"/>
    </w:rPr>
  </w:style>
  <w:style w:type="character" w:styleId="T36" w:customStyle="1">
    <w:name w:val="T36"/>
    <w:qFormat/>
    <w:rPr>
      <w:rFonts w:ascii="Symbol" w:hAnsi="Symbol" w:cs="Symbol"/>
      <w:color w:val="0F1115"/>
    </w:rPr>
  </w:style>
  <w:style w:type="character" w:styleId="T37" w:customStyle="1">
    <w:name w:val="T37"/>
    <w:qFormat/>
    <w:rPr>
      <w:rFonts w:ascii="Symbol" w:hAnsi="Symbol" w:cs="Symbol"/>
      <w:color w:val="0F1115"/>
    </w:rPr>
  </w:style>
  <w:style w:type="character" w:styleId="T38" w:customStyle="1">
    <w:name w:val="T38"/>
    <w:qFormat/>
    <w:rPr>
      <w:rFonts w:ascii="Symbol" w:hAnsi="Symbol" w:cs="Symbol"/>
      <w:color w:val="0F1115"/>
    </w:rPr>
  </w:style>
  <w:style w:type="character" w:styleId="T39" w:customStyle="1">
    <w:name w:val="T39"/>
    <w:qFormat/>
    <w:rPr>
      <w:rFonts w:ascii="Symbol" w:hAnsi="Symbol" w:cs="Symbol"/>
      <w:color w:val="0F1115"/>
    </w:rPr>
  </w:style>
  <w:style w:type="character" w:styleId="T40" w:customStyle="1">
    <w:name w:val="T40"/>
    <w:qFormat/>
    <w:rPr>
      <w:rFonts w:ascii="Liberation Sans" w:hAnsi="Liberation Sans" w:cs="Liberation Sans"/>
      <w:color w:val="0F1115"/>
    </w:rPr>
  </w:style>
  <w:style w:type="character" w:styleId="T41" w:customStyle="1">
    <w:name w:val="T41"/>
    <w:qFormat/>
    <w:rPr>
      <w:rFonts w:ascii="Symbol" w:hAnsi="Symbol" w:cs="Symbol"/>
      <w:color w:val="0F1115"/>
    </w:rPr>
  </w:style>
  <w:style w:type="character" w:styleId="T42" w:customStyle="1">
    <w:name w:val="T42"/>
    <w:qFormat/>
    <w:rPr>
      <w:rFonts w:ascii="Symbol" w:hAnsi="Symbol" w:cs="Symbol"/>
      <w:color w:val="0F1115"/>
    </w:rPr>
  </w:style>
  <w:style w:type="character" w:styleId="T43" w:customStyle="1">
    <w:name w:val="T43"/>
    <w:qFormat/>
    <w:rPr>
      <w:rFonts w:ascii="Symbol" w:hAnsi="Symbol" w:cs="Symbol"/>
      <w:color w:val="0F1115"/>
    </w:rPr>
  </w:style>
  <w:style w:type="character" w:styleId="T44" w:customStyle="1">
    <w:name w:val="T44"/>
    <w:qFormat/>
    <w:rPr>
      <w:rFonts w:ascii="Symbol" w:hAnsi="Symbol" w:cs="Symbol"/>
      <w:color w:val="0F1115"/>
    </w:rPr>
  </w:style>
  <w:style w:type="character" w:styleId="T45" w:customStyle="1">
    <w:name w:val="T45"/>
    <w:qFormat/>
    <w:rPr>
      <w:rFonts w:ascii="Symbol" w:hAnsi="Symbol" w:cs="Symbol"/>
      <w:color w:val="0F1115"/>
    </w:rPr>
  </w:style>
  <w:style w:type="character" w:styleId="T46" w:customStyle="1">
    <w:name w:val="T46"/>
    <w:qFormat/>
    <w:rPr>
      <w:rFonts w:ascii="Symbol" w:hAnsi="Symbol" w:cs="Symbol"/>
      <w:color w:val="0F1115"/>
    </w:rPr>
  </w:style>
  <w:style w:type="character" w:styleId="T47" w:customStyle="1">
    <w:name w:val="T47"/>
    <w:qFormat/>
    <w:rPr>
      <w:rFonts w:ascii="Symbol" w:hAnsi="Symbol" w:cs="Symbol"/>
      <w:color w:val="0F1115"/>
    </w:rPr>
  </w:style>
  <w:style w:type="character" w:styleId="T48" w:customStyle="1">
    <w:name w:val="T48"/>
    <w:qFormat/>
    <w:rPr>
      <w:rFonts w:ascii="Symbol" w:hAnsi="Symbol" w:cs="Symbol"/>
      <w:color w:val="0F1115"/>
    </w:rPr>
  </w:style>
  <w:style w:type="character" w:styleId="T49" w:customStyle="1">
    <w:name w:val="T49"/>
    <w:qFormat/>
    <w:rPr>
      <w:rFonts w:ascii="Symbol" w:hAnsi="Symbol" w:cs="Symbol"/>
      <w:color w:val="0F1115"/>
    </w:rPr>
  </w:style>
  <w:style w:type="character" w:styleId="T50" w:customStyle="1">
    <w:name w:val="T50"/>
    <w:qFormat/>
    <w:rPr>
      <w:rFonts w:ascii="Liberation Sans" w:hAnsi="Liberation Sans" w:cs="Liberation Sans"/>
      <w:color w:val="0F1115"/>
    </w:rPr>
  </w:style>
  <w:style w:type="character" w:styleId="T51" w:customStyle="1">
    <w:name w:val="T51"/>
    <w:qFormat/>
    <w:rPr>
      <w:rFonts w:ascii="Symbol" w:hAnsi="Symbol" w:cs="Symbol"/>
      <w:color w:val="0F1115"/>
    </w:rPr>
  </w:style>
  <w:style w:type="character" w:styleId="T52" w:customStyle="1">
    <w:name w:val="T52"/>
    <w:qFormat/>
    <w:rPr>
      <w:rFonts w:ascii="Symbol" w:hAnsi="Symbol" w:cs="Symbol"/>
      <w:color w:val="0F1115"/>
    </w:rPr>
  </w:style>
  <w:style w:type="character" w:styleId="T53" w:customStyle="1">
    <w:name w:val="T53"/>
    <w:qFormat/>
    <w:rPr>
      <w:rFonts w:ascii="Symbol" w:hAnsi="Symbol" w:cs="Symbol"/>
      <w:color w:val="0F1115"/>
    </w:rPr>
  </w:style>
  <w:style w:type="character" w:styleId="T54" w:customStyle="1">
    <w:name w:val="T54"/>
    <w:qFormat/>
    <w:rPr>
      <w:rFonts w:ascii="Symbol" w:hAnsi="Symbol" w:cs="Symbol"/>
      <w:color w:val="0F1115"/>
    </w:rPr>
  </w:style>
  <w:style w:type="character" w:styleId="T55" w:customStyle="1">
    <w:name w:val="T55"/>
    <w:qFormat/>
    <w:rPr>
      <w:rFonts w:ascii="Symbol" w:hAnsi="Symbol" w:cs="Symbol"/>
      <w:color w:val="0F1115"/>
    </w:rPr>
  </w:style>
  <w:style w:type="character" w:styleId="T56" w:customStyle="1">
    <w:name w:val="T56"/>
    <w:qFormat/>
    <w:rPr>
      <w:rFonts w:ascii="Symbol" w:hAnsi="Symbol" w:cs="Symbol"/>
      <w:color w:val="0F1115"/>
    </w:rPr>
  </w:style>
  <w:style w:type="character" w:styleId="T57" w:customStyle="1">
    <w:name w:val="T57"/>
    <w:qFormat/>
    <w:rPr>
      <w:rFonts w:ascii="Symbol" w:hAnsi="Symbol" w:cs="Symbol"/>
      <w:color w:val="0F1115"/>
    </w:rPr>
  </w:style>
  <w:style w:type="character" w:styleId="T58" w:customStyle="1">
    <w:name w:val="T58"/>
    <w:qFormat/>
    <w:rPr>
      <w:rFonts w:ascii="Symbol" w:hAnsi="Symbol" w:cs="Symbol"/>
      <w:color w:val="0F1115"/>
    </w:rPr>
  </w:style>
  <w:style w:type="character" w:styleId="T59" w:customStyle="1">
    <w:name w:val="T59"/>
    <w:qFormat/>
    <w:rPr>
      <w:rFonts w:ascii="Symbol" w:hAnsi="Symbol" w:cs="Symbol"/>
      <w:color w:val="0F1115"/>
    </w:rPr>
  </w:style>
  <w:style w:type="character" w:styleId="T60" w:customStyle="1">
    <w:name w:val="T60"/>
    <w:qFormat/>
    <w:rPr>
      <w:rFonts w:ascii="Liberation Sans" w:hAnsi="Liberation Sans" w:cs="Liberation Sans"/>
      <w:color w:val="0F1115"/>
    </w:rPr>
  </w:style>
  <w:style w:type="character" w:styleId="T61" w:customStyle="1">
    <w:name w:val="T61"/>
    <w:qFormat/>
    <w:rPr>
      <w:rFonts w:ascii="Symbol" w:hAnsi="Symbol" w:cs="Symbol"/>
      <w:color w:val="0F1115"/>
    </w:rPr>
  </w:style>
  <w:style w:type="character" w:styleId="T62" w:customStyle="1">
    <w:name w:val="T62"/>
    <w:qFormat/>
    <w:rPr>
      <w:rFonts w:ascii="Symbol" w:hAnsi="Symbol" w:cs="Symbol"/>
      <w:color w:val="0F1115"/>
    </w:rPr>
  </w:style>
  <w:style w:type="character" w:styleId="T63" w:customStyle="1">
    <w:name w:val="T63"/>
    <w:qFormat/>
    <w:rPr>
      <w:rFonts w:ascii="Symbol" w:hAnsi="Symbol" w:cs="Symbol"/>
      <w:color w:val="0F1115"/>
    </w:rPr>
  </w:style>
  <w:style w:type="character" w:styleId="T64" w:customStyle="1">
    <w:name w:val="T64"/>
    <w:qFormat/>
    <w:rPr>
      <w:rFonts w:ascii="Symbol" w:hAnsi="Symbol" w:cs="Symbol"/>
      <w:color w:val="0F1115"/>
    </w:rPr>
  </w:style>
  <w:style w:type="character" w:styleId="T65" w:customStyle="1">
    <w:name w:val="T65"/>
    <w:qFormat/>
    <w:rPr>
      <w:rFonts w:ascii="Symbol" w:hAnsi="Symbol" w:cs="Symbol"/>
      <w:color w:val="0F1115"/>
    </w:rPr>
  </w:style>
  <w:style w:type="character" w:styleId="T66" w:customStyle="1">
    <w:name w:val="T66"/>
    <w:qFormat/>
    <w:rPr>
      <w:rFonts w:ascii="Symbol" w:hAnsi="Symbol" w:cs="Symbol"/>
      <w:color w:val="0F1115"/>
    </w:rPr>
  </w:style>
  <w:style w:type="character" w:styleId="T67" w:customStyle="1">
    <w:name w:val="T67"/>
    <w:qFormat/>
    <w:rPr>
      <w:rFonts w:ascii="Symbol" w:hAnsi="Symbol" w:cs="Symbol"/>
      <w:color w:val="0F1115"/>
    </w:rPr>
  </w:style>
  <w:style w:type="character" w:styleId="T68" w:customStyle="1">
    <w:name w:val="T68"/>
    <w:qFormat/>
    <w:rPr>
      <w:rFonts w:ascii="Symbol" w:hAnsi="Symbol" w:cs="Symbol"/>
      <w:color w:val="0F1115"/>
    </w:rPr>
  </w:style>
  <w:style w:type="character" w:styleId="T69" w:customStyle="1">
    <w:name w:val="T69"/>
    <w:qFormat/>
    <w:rPr>
      <w:rFonts w:ascii="Symbol" w:hAnsi="Symbol" w:cs="Symbol"/>
      <w:color w:val="0F1115"/>
    </w:rPr>
  </w:style>
  <w:style w:type="character" w:styleId="T70" w:customStyle="1">
    <w:name w:val="T70"/>
    <w:qFormat/>
    <w:rPr>
      <w:rFonts w:ascii="Symbol" w:hAnsi="Symbol" w:cs="Symbol"/>
      <w:color w:val="0F1115"/>
    </w:rPr>
  </w:style>
  <w:style w:type="character" w:styleId="T71" w:customStyle="1">
    <w:name w:val="T71"/>
    <w:qFormat/>
    <w:rPr>
      <w:rFonts w:ascii="Symbol" w:hAnsi="Symbol" w:cs="Symbol"/>
      <w:color w:val="0F1115"/>
    </w:rPr>
  </w:style>
  <w:style w:type="character" w:styleId="T72" w:customStyle="1">
    <w:name w:val="T72"/>
    <w:qFormat/>
    <w:rPr>
      <w:rFonts w:ascii="Symbol" w:hAnsi="Symbol" w:cs="Symbol"/>
      <w:color w:val="0F1115"/>
    </w:rPr>
  </w:style>
  <w:style w:type="character" w:styleId="T73" w:customStyle="1">
    <w:name w:val="T73"/>
    <w:qFormat/>
    <w:rPr>
      <w:rFonts w:ascii="Symbol" w:hAnsi="Symbol" w:cs="Symbol"/>
      <w:color w:val="0F1115"/>
    </w:rPr>
  </w:style>
  <w:style w:type="character" w:styleId="T74" w:customStyle="1">
    <w:name w:val="T74"/>
    <w:qFormat/>
    <w:rPr>
      <w:rFonts w:ascii="Symbol" w:hAnsi="Symbol" w:cs="Symbol"/>
      <w:color w:val="0F1115"/>
    </w:rPr>
  </w:style>
  <w:style w:type="character" w:styleId="T75" w:customStyle="1">
    <w:name w:val="T75"/>
    <w:qFormat/>
    <w:rPr>
      <w:rFonts w:ascii="Symbol" w:hAnsi="Symbol" w:cs="Symbol"/>
      <w:color w:val="0F1115"/>
    </w:rPr>
  </w:style>
  <w:style w:type="character" w:styleId="T76" w:customStyle="1">
    <w:name w:val="T76"/>
    <w:qFormat/>
    <w:rPr>
      <w:rFonts w:ascii="Symbol" w:hAnsi="Symbol" w:cs="Symbol"/>
      <w:color w:val="0F1115"/>
    </w:rPr>
  </w:style>
  <w:style w:type="character" w:styleId="T77" w:customStyle="1">
    <w:name w:val="T77"/>
    <w:qFormat/>
    <w:rPr>
      <w:rFonts w:ascii="Symbol" w:hAnsi="Symbol" w:cs="Symbol"/>
      <w:color w:val="0F1115"/>
    </w:rPr>
  </w:style>
  <w:style w:type="character" w:styleId="T78" w:customStyle="1">
    <w:name w:val="T78"/>
    <w:qFormat/>
    <w:rPr>
      <w:rFonts w:ascii="Symbol" w:hAnsi="Symbol" w:cs="Symbol"/>
      <w:color w:val="0F1115"/>
    </w:rPr>
  </w:style>
  <w:style w:type="character" w:styleId="T79" w:customStyle="1">
    <w:name w:val="T79"/>
    <w:qFormat/>
    <w:rPr>
      <w:rFonts w:ascii="Symbol" w:hAnsi="Symbol" w:cs="Symbol"/>
      <w:color w:val="0F1115"/>
    </w:rPr>
  </w:style>
  <w:style w:type="character" w:styleId="T80" w:customStyle="1">
    <w:name w:val="T80"/>
    <w:qFormat/>
    <w:rPr>
      <w:rFonts w:ascii="Symbol" w:hAnsi="Symbol" w:cs="Symbol"/>
      <w:color w:val="0F1115"/>
    </w:rPr>
  </w:style>
  <w:style w:type="character" w:styleId="T81" w:customStyle="1">
    <w:name w:val="T81"/>
    <w:qFormat/>
    <w:rPr>
      <w:rFonts w:ascii="Symbol" w:hAnsi="Symbol" w:cs="Symbol"/>
      <w:color w:val="0F1115"/>
    </w:rPr>
  </w:style>
  <w:style w:type="character" w:styleId="T82" w:customStyle="1">
    <w:name w:val="T82"/>
    <w:qFormat/>
    <w:rPr>
      <w:rFonts w:ascii="Symbol" w:hAnsi="Symbol" w:cs="Symbol"/>
      <w:color w:val="0F1115"/>
    </w:rPr>
  </w:style>
  <w:style w:type="character" w:styleId="T83" w:customStyle="1">
    <w:name w:val="T83"/>
    <w:qFormat/>
    <w:rPr>
      <w:rFonts w:ascii="Symbol" w:hAnsi="Symbol" w:cs="Symbol"/>
      <w:color w:val="0F1115"/>
    </w:rPr>
  </w:style>
  <w:style w:type="character" w:styleId="T84" w:customStyle="1">
    <w:name w:val="T84"/>
    <w:qFormat/>
    <w:rPr>
      <w:rFonts w:ascii="Symbol" w:hAnsi="Symbol" w:cs="Symbol"/>
      <w:color w:val="0F1115"/>
    </w:rPr>
  </w:style>
  <w:style w:type="character" w:styleId="T85" w:customStyle="1">
    <w:name w:val="T85"/>
    <w:qFormat/>
    <w:rPr>
      <w:rFonts w:ascii="Symbol" w:hAnsi="Symbol" w:cs="Symbol"/>
      <w:color w:val="0F1115"/>
    </w:rPr>
  </w:style>
  <w:style w:type="character" w:styleId="T86" w:customStyle="1">
    <w:name w:val="T86"/>
    <w:qFormat/>
    <w:rPr>
      <w:rFonts w:ascii="Symbol" w:hAnsi="Symbol" w:cs="Symbol"/>
      <w:color w:val="0F1115"/>
    </w:rPr>
  </w:style>
  <w:style w:type="character" w:styleId="T87" w:customStyle="1">
    <w:name w:val="T87"/>
    <w:qFormat/>
    <w:rPr>
      <w:rFonts w:ascii="Symbol" w:hAnsi="Symbol" w:cs="Symbol"/>
      <w:color w:val="0F1115"/>
    </w:rPr>
  </w:style>
  <w:style w:type="character" w:styleId="T88" w:customStyle="1">
    <w:name w:val="T88"/>
    <w:qFormat/>
    <w:rPr>
      <w:rFonts w:ascii="Symbol" w:hAnsi="Symbol" w:cs="Symbol"/>
      <w:color w:val="0F1115"/>
    </w:rPr>
  </w:style>
  <w:style w:type="character" w:styleId="T89" w:customStyle="1">
    <w:name w:val="T89"/>
    <w:qFormat/>
    <w:rPr>
      <w:rFonts w:ascii="Symbol" w:hAnsi="Symbol" w:cs="Symbol"/>
      <w:color w:val="0F1115"/>
    </w:rPr>
  </w:style>
  <w:style w:type="character" w:styleId="T90" w:customStyle="1">
    <w:name w:val="T90"/>
    <w:qFormat/>
    <w:rPr>
      <w:rFonts w:ascii="Symbol" w:hAnsi="Symbol" w:cs="Symbol"/>
      <w:color w:val="0F1115"/>
    </w:rPr>
  </w:style>
  <w:style w:type="character" w:styleId="T91" w:customStyle="1">
    <w:name w:val="T91"/>
    <w:qFormat/>
    <w:rPr>
      <w:rFonts w:ascii="Symbol" w:hAnsi="Symbol" w:cs="Symbol"/>
      <w:color w:val="0F1115"/>
    </w:rPr>
  </w:style>
  <w:style w:type="character" w:styleId="T92" w:customStyle="1">
    <w:name w:val="T92"/>
    <w:qFormat/>
    <w:rPr>
      <w:rFonts w:ascii="Symbol" w:hAnsi="Symbol" w:cs="Symbol"/>
      <w:color w:val="0F1115"/>
    </w:rPr>
  </w:style>
  <w:style w:type="character" w:styleId="T93" w:customStyle="1">
    <w:name w:val="T93"/>
    <w:qFormat/>
    <w:rPr>
      <w:rFonts w:ascii="Symbol" w:hAnsi="Symbol" w:cs="Symbol"/>
      <w:color w:val="0F1115"/>
    </w:rPr>
  </w:style>
  <w:style w:type="character" w:styleId="T94" w:customStyle="1">
    <w:name w:val="T94"/>
    <w:qFormat/>
    <w:rPr>
      <w:rFonts w:ascii="Symbol" w:hAnsi="Symbol" w:cs="Symbol"/>
      <w:color w:val="0F1115"/>
    </w:rPr>
  </w:style>
  <w:style w:type="character" w:styleId="T95" w:customStyle="1">
    <w:name w:val="T95"/>
    <w:qFormat/>
    <w:rPr>
      <w:rFonts w:ascii="Symbol" w:hAnsi="Symbol" w:cs="Symbol"/>
      <w:color w:val="0F1115"/>
    </w:rPr>
  </w:style>
  <w:style w:type="character" w:styleId="T96" w:customStyle="1">
    <w:name w:val="T96"/>
    <w:qFormat/>
    <w:rPr>
      <w:rFonts w:ascii="Symbol" w:hAnsi="Symbol" w:cs="Symbol"/>
      <w:color w:val="0F1115"/>
    </w:rPr>
  </w:style>
  <w:style w:type="character" w:styleId="T97" w:customStyle="1">
    <w:name w:val="T97"/>
    <w:qFormat/>
    <w:rPr>
      <w:rFonts w:ascii="Symbol" w:hAnsi="Symbol" w:cs="Symbol"/>
      <w:color w:val="0F1115"/>
    </w:rPr>
  </w:style>
  <w:style w:type="character" w:styleId="T98" w:customStyle="1">
    <w:name w:val="T98"/>
    <w:qFormat/>
    <w:rPr>
      <w:rFonts w:ascii="Symbol" w:hAnsi="Symbol" w:cs="Symbol"/>
      <w:color w:val="0F1115"/>
    </w:rPr>
  </w:style>
  <w:style w:type="character" w:styleId="T99" w:customStyle="1">
    <w:name w:val="T99"/>
    <w:qFormat/>
    <w:rPr>
      <w:rFonts w:ascii="Symbol" w:hAnsi="Symbol" w:cs="Symbol"/>
      <w:color w:val="0F1115"/>
    </w:rPr>
  </w:style>
  <w:style w:type="character" w:styleId="T100" w:customStyle="1">
    <w:name w:val="T100"/>
    <w:qFormat/>
    <w:rPr>
      <w:rFonts w:ascii="Symbol" w:hAnsi="Symbol" w:cs="Symbol"/>
      <w:color w:val="0F1115"/>
    </w:rPr>
  </w:style>
  <w:style w:type="character" w:styleId="T101" w:customStyle="1">
    <w:name w:val="T101"/>
    <w:qFormat/>
    <w:rPr>
      <w:rFonts w:ascii="Symbol" w:hAnsi="Symbol" w:cs="Symbol"/>
      <w:color w:val="0F1115"/>
    </w:rPr>
  </w:style>
  <w:style w:type="character" w:styleId="T102" w:customStyle="1">
    <w:name w:val="T102"/>
    <w:qFormat/>
    <w:rPr>
      <w:rFonts w:ascii="Symbol" w:hAnsi="Symbol" w:cs="Symbol"/>
      <w:color w:val="0F1115"/>
    </w:rPr>
  </w:style>
  <w:style w:type="character" w:styleId="T103" w:customStyle="1">
    <w:name w:val="T103"/>
    <w:qFormat/>
    <w:rPr>
      <w:rFonts w:ascii="Symbol" w:hAnsi="Symbol" w:cs="Symbol"/>
      <w:color w:val="0F1115"/>
    </w:rPr>
  </w:style>
  <w:style w:type="character" w:styleId="T104" w:customStyle="1">
    <w:name w:val="T104"/>
    <w:qFormat/>
    <w:rPr>
      <w:rFonts w:ascii="Symbol" w:hAnsi="Symbol" w:cs="Symbol"/>
      <w:color w:val="0F1115"/>
    </w:rPr>
  </w:style>
  <w:style w:type="character" w:styleId="T105" w:customStyle="1">
    <w:name w:val="T105"/>
    <w:qFormat/>
    <w:rPr>
      <w:rFonts w:ascii="Symbol" w:hAnsi="Symbol" w:cs="Symbol"/>
      <w:color w:val="0F1115"/>
    </w:rPr>
  </w:style>
  <w:style w:type="character" w:styleId="T106" w:customStyle="1">
    <w:name w:val="T106"/>
    <w:qFormat/>
    <w:rPr>
      <w:rFonts w:ascii="Liberation Sans" w:hAnsi="Liberation Sans" w:cs="Liberation Sans"/>
      <w:color w:val="0F1115"/>
    </w:rPr>
  </w:style>
  <w:style w:type="character" w:styleId="T107" w:customStyle="1">
    <w:name w:val="T107"/>
    <w:qFormat/>
    <w:rPr>
      <w:rFonts w:ascii="Symbol" w:hAnsi="Symbol" w:cs="Symbol"/>
      <w:color w:val="0F1115"/>
    </w:rPr>
  </w:style>
  <w:style w:type="character" w:styleId="T108" w:customStyle="1">
    <w:name w:val="T108"/>
    <w:qFormat/>
    <w:rPr>
      <w:rFonts w:ascii="Symbol" w:hAnsi="Symbol" w:cs="Symbol"/>
      <w:color w:val="0F1115"/>
    </w:rPr>
  </w:style>
  <w:style w:type="character" w:styleId="T109" w:customStyle="1">
    <w:name w:val="T109"/>
    <w:qFormat/>
    <w:rPr>
      <w:rFonts w:ascii="Symbol" w:hAnsi="Symbol" w:cs="Symbol"/>
      <w:color w:val="0F1115"/>
    </w:rPr>
  </w:style>
  <w:style w:type="character" w:styleId="T110" w:customStyle="1">
    <w:name w:val="T110"/>
    <w:qFormat/>
    <w:rPr>
      <w:rFonts w:ascii="Symbol" w:hAnsi="Symbol" w:cs="Symbol"/>
      <w:color w:val="0F1115"/>
    </w:rPr>
  </w:style>
  <w:style w:type="character" w:styleId="T111" w:customStyle="1">
    <w:name w:val="T111"/>
    <w:qFormat/>
    <w:rPr>
      <w:rFonts w:ascii="Symbol" w:hAnsi="Symbol" w:cs="Symbol"/>
      <w:color w:val="0F1115"/>
    </w:rPr>
  </w:style>
  <w:style w:type="character" w:styleId="T112" w:customStyle="1">
    <w:name w:val="T112"/>
    <w:qFormat/>
    <w:rPr>
      <w:rFonts w:ascii="Symbol" w:hAnsi="Symbol" w:cs="Symbol"/>
      <w:color w:val="0F1115"/>
    </w:rPr>
  </w:style>
  <w:style w:type="character" w:styleId="T113" w:customStyle="1">
    <w:name w:val="T113"/>
    <w:qFormat/>
    <w:rPr>
      <w:rFonts w:ascii="Symbol" w:hAnsi="Symbol" w:cs="Symbol"/>
      <w:color w:val="0F1115"/>
    </w:rPr>
  </w:style>
  <w:style w:type="character" w:styleId="T114" w:customStyle="1">
    <w:name w:val="T114"/>
    <w:qFormat/>
    <w:rPr>
      <w:rFonts w:ascii="Symbol" w:hAnsi="Symbol" w:cs="Symbol"/>
      <w:color w:val="0F1115"/>
    </w:rPr>
  </w:style>
  <w:style w:type="character" w:styleId="T115" w:customStyle="1">
    <w:name w:val="T115"/>
    <w:qFormat/>
    <w:rPr>
      <w:rFonts w:ascii="Symbol" w:hAnsi="Symbol" w:cs="Symbol"/>
      <w:color w:val="0F1115"/>
    </w:rPr>
  </w:style>
  <w:style w:type="character" w:styleId="T116" w:customStyle="1">
    <w:name w:val="T116"/>
    <w:qFormat/>
    <w:rPr>
      <w:rFonts w:ascii="Symbol" w:hAnsi="Symbol" w:cs="Symbol"/>
      <w:color w:val="0F1115"/>
    </w:rPr>
  </w:style>
  <w:style w:type="character" w:styleId="T117" w:customStyle="1">
    <w:name w:val="T117"/>
    <w:qFormat/>
    <w:rPr>
      <w:rFonts w:ascii="Symbol" w:hAnsi="Symbol" w:cs="Symbol"/>
      <w:color w:val="0F1115"/>
    </w:rPr>
  </w:style>
  <w:style w:type="character" w:styleId="T118" w:customStyle="1">
    <w:name w:val="T118"/>
    <w:qFormat/>
    <w:rPr>
      <w:rFonts w:ascii="Symbol" w:hAnsi="Symbol" w:cs="Symbol"/>
      <w:color w:val="0F1115"/>
    </w:rPr>
  </w:style>
  <w:style w:type="character" w:styleId="T119" w:customStyle="1">
    <w:name w:val="T119"/>
    <w:qFormat/>
    <w:rPr>
      <w:rFonts w:ascii="Symbol" w:hAnsi="Symbol" w:cs="Symbol"/>
      <w:color w:val="0F1115"/>
    </w:rPr>
  </w:style>
  <w:style w:type="character" w:styleId="T120" w:customStyle="1">
    <w:name w:val="T120"/>
    <w:qFormat/>
    <w:rPr>
      <w:rFonts w:ascii="Symbol" w:hAnsi="Symbol" w:cs="Symbol"/>
      <w:color w:val="0F1115"/>
    </w:rPr>
  </w:style>
  <w:style w:type="character" w:styleId="T121" w:customStyle="1">
    <w:name w:val="T121"/>
    <w:qFormat/>
    <w:rPr>
      <w:rFonts w:ascii="Symbol" w:hAnsi="Symbol" w:cs="Symbol"/>
      <w:color w:val="0F1115"/>
    </w:rPr>
  </w:style>
  <w:style w:type="character" w:styleId="T122" w:customStyle="1">
    <w:name w:val="T122"/>
    <w:qFormat/>
    <w:rPr>
      <w:rFonts w:ascii="Symbol" w:hAnsi="Symbol" w:cs="Symbol"/>
      <w:color w:val="0F1115"/>
    </w:rPr>
  </w:style>
  <w:style w:type="character" w:styleId="T123" w:customStyle="1">
    <w:name w:val="T123"/>
    <w:qFormat/>
    <w:rPr>
      <w:rFonts w:ascii="Symbol" w:hAnsi="Symbol" w:cs="Symbol"/>
      <w:color w:val="0F1115"/>
    </w:rPr>
  </w:style>
  <w:style w:type="character" w:styleId="T124" w:customStyle="1">
    <w:name w:val="T124"/>
    <w:qFormat/>
    <w:rPr>
      <w:rFonts w:ascii="Symbol" w:hAnsi="Symbol" w:cs="Symbol"/>
      <w:color w:val="0F1115"/>
    </w:rPr>
  </w:style>
  <w:style w:type="character" w:styleId="T125" w:customStyle="1">
    <w:name w:val="T125"/>
    <w:qFormat/>
    <w:rPr>
      <w:rFonts w:ascii="Symbol" w:hAnsi="Symbol" w:cs="Symbol"/>
      <w:color w:val="0F1115"/>
    </w:rPr>
  </w:style>
  <w:style w:type="character" w:styleId="T126" w:customStyle="1">
    <w:name w:val="T126"/>
    <w:qFormat/>
    <w:rPr>
      <w:rFonts w:ascii="Symbol" w:hAnsi="Symbol" w:cs="Symbol"/>
      <w:color w:val="0F1115"/>
    </w:rPr>
  </w:style>
  <w:style w:type="character" w:styleId="T127" w:customStyle="1">
    <w:name w:val="T127"/>
    <w:qFormat/>
    <w:rPr>
      <w:rFonts w:ascii="Symbol" w:hAnsi="Symbol" w:cs="Symbol"/>
      <w:color w:val="0F1115"/>
    </w:rPr>
  </w:style>
  <w:style w:type="character" w:styleId="T128" w:customStyle="1">
    <w:name w:val="T128"/>
    <w:qFormat/>
    <w:rPr>
      <w:rFonts w:ascii="Symbol" w:hAnsi="Symbol" w:cs="Symbol"/>
      <w:color w:val="0F1115"/>
    </w:rPr>
  </w:style>
  <w:style w:type="character" w:styleId="T129" w:customStyle="1">
    <w:name w:val="T129"/>
    <w:qFormat/>
    <w:rPr>
      <w:rFonts w:ascii="Symbol" w:hAnsi="Symbol" w:cs="Symbol"/>
      <w:color w:val="0F1115"/>
    </w:rPr>
  </w:style>
  <w:style w:type="character" w:styleId="T130" w:customStyle="1">
    <w:name w:val="T130"/>
    <w:qFormat/>
    <w:rPr>
      <w:rFonts w:ascii="Symbol" w:hAnsi="Symbol" w:cs="Symbol"/>
      <w:color w:val="0F1115"/>
    </w:rPr>
  </w:style>
  <w:style w:type="character" w:styleId="T131" w:customStyle="1">
    <w:name w:val="T131"/>
    <w:qFormat/>
    <w:rPr>
      <w:rFonts w:ascii="Symbol" w:hAnsi="Symbol" w:cs="Symbol"/>
      <w:color w:val="0F1115"/>
    </w:rPr>
  </w:style>
  <w:style w:type="character" w:styleId="T132" w:customStyle="1">
    <w:name w:val="T132"/>
    <w:qFormat/>
    <w:rPr>
      <w:rFonts w:ascii="Symbol" w:hAnsi="Symbol" w:cs="Symbol"/>
      <w:color w:val="0F1115"/>
    </w:rPr>
  </w:style>
  <w:style w:type="character" w:styleId="T133" w:customStyle="1">
    <w:name w:val="T133"/>
    <w:qFormat/>
    <w:rPr>
      <w:rFonts w:ascii="Symbol" w:hAnsi="Symbol" w:cs="Symbol"/>
      <w:color w:val="0F1115"/>
    </w:rPr>
  </w:style>
  <w:style w:type="character" w:styleId="T134" w:customStyle="1">
    <w:name w:val="T134"/>
    <w:qFormat/>
    <w:rPr>
      <w:rFonts w:ascii="Liberation Sans" w:hAnsi="Liberation Sans" w:cs="Liberation Sans"/>
      <w:color w:val="0F1115"/>
    </w:rPr>
  </w:style>
  <w:style w:type="character" w:styleId="T135" w:customStyle="1">
    <w:name w:val="T135"/>
    <w:qFormat/>
    <w:rPr>
      <w:rFonts w:ascii="Liberation Sans" w:hAnsi="Liberation Sans" w:cs="Liberation Sans"/>
      <w:color w:val="0F1115"/>
    </w:rPr>
  </w:style>
  <w:style w:type="paragraph" w:styleId="Style7" w:customStyle="1">
    <w:name w:val="Заголовок"/>
    <w:basedOn w:val="Standard"/>
    <w:next w:val="BodyText"/>
    <w:qFormat/>
    <w:pPr>
      <w:spacing w:before="240" w:after="120"/>
    </w:pPr>
    <w:rPr>
      <w:rFonts w:ascii="Open Sans" w:hAnsi="Open Sans" w:cs="Open Sans"/>
      <w:sz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 w:customStyle="1">
    <w:name w:val="List"/>
    <w:basedOn w:val="Textbody"/>
    <w:qFormat/>
    <w:pPr/>
    <w:rPr/>
  </w:style>
  <w:style w:type="paragraph" w:styleId="Caption" w:customStyle="1">
    <w:name w:val="Caption"/>
    <w:basedOn w:val="Standard"/>
    <w:qFormat/>
    <w:pPr>
      <w:spacing w:before="120" w:after="120"/>
    </w:pPr>
    <w:rPr>
      <w:i/>
      <w:sz w:val="24"/>
    </w:rPr>
  </w:style>
  <w:style w:type="paragraph" w:styleId="Style8" w:customStyle="1">
    <w:name w:val="Указатель"/>
    <w:basedOn w:val="Standard"/>
    <w:qFormat/>
    <w:pPr/>
    <w:rPr/>
  </w:style>
  <w:style w:type="paragraph" w:styleId="DStyleparagraph">
    <w:name w:val="DStyle_paragraph"/>
    <w:qFormat/>
    <w:pPr>
      <w:widowControl/>
      <w:suppressAutoHyphens w:val="true"/>
      <w:bidi w:val="0"/>
      <w:spacing w:before="0" w:after="0"/>
      <w:jc w:val="left"/>
    </w:pPr>
    <w:rPr>
      <w:rFonts w:ascii="Tempora LGC Uni" w:hAnsi="Tempora LGC Uni" w:eastAsia="WenQuanYi Micro Hei" w:cs="Tempora LGC Uni"/>
      <w:color w:val="000000"/>
      <w:kern w:val="0"/>
      <w:sz w:val="24"/>
      <w:szCs w:val="20"/>
      <w:lang w:val="ru-RU" w:eastAsia="zh-CN" w:bidi="ar-SA"/>
    </w:rPr>
  </w:style>
  <w:style w:type="paragraph" w:styleId="ListParagraph" w:customStyle="1">
    <w:name w:val="List Paragraph"/>
    <w:basedOn w:val="Normal"/>
    <w:qFormat/>
    <w:pPr>
      <w:ind w:hanging="0" w:left="720" w:right="0"/>
    </w:pPr>
    <w:rPr/>
  </w:style>
  <w:style w:type="paragraph" w:styleId="NoSpacing" w:customStyle="1">
    <w:name w:val="No Spacing"/>
    <w:basedOn w:val="DStyleparagraph"/>
    <w:qFormat/>
    <w:pPr>
      <w:spacing w:lineRule="auto" w:line="240" w:before="0" w:after="0"/>
    </w:pPr>
    <w:rPr/>
  </w:style>
  <w:style w:type="paragraph" w:styleId="Title" w:customStyle="1">
    <w:name w:val="Title"/>
    <w:basedOn w:val="Normal"/>
    <w:qFormat/>
    <w:pPr>
      <w:spacing w:before="300" w:after="200"/>
    </w:pPr>
    <w:rPr>
      <w:sz w:val="48"/>
    </w:rPr>
  </w:style>
  <w:style w:type="paragraph" w:styleId="Subtitle" w:customStyle="1">
    <w:name w:val="Subtitle"/>
    <w:basedOn w:val="Normal"/>
    <w:qFormat/>
    <w:pPr>
      <w:spacing w:before="200" w:after="200"/>
    </w:pPr>
    <w:rPr>
      <w:sz w:val="24"/>
    </w:rPr>
  </w:style>
  <w:style w:type="paragraph" w:styleId="Quote" w:customStyle="1">
    <w:name w:val="Quote"/>
    <w:basedOn w:val="Normal"/>
    <w:qFormat/>
    <w:pPr>
      <w:ind w:hanging="0" w:left="720" w:right="720"/>
    </w:pPr>
    <w:rPr>
      <w:i/>
    </w:rPr>
  </w:style>
  <w:style w:type="paragraph" w:styleId="IntenseQuote" w:customStyle="1">
    <w:name w:val="Intense Quote"/>
    <w:basedOn w:val="Normal"/>
    <w:qFormat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F2F2F2"/>
      <w:ind w:hanging="0" w:left="720" w:right="720"/>
    </w:pPr>
    <w:rPr>
      <w:i/>
    </w:rPr>
  </w:style>
  <w:style w:type="paragraph" w:styleId="Style9">
    <w:name w:val="Колонтитул"/>
    <w:basedOn w:val="Normal"/>
    <w:qFormat/>
    <w:pPr/>
    <w:rPr/>
  </w:style>
  <w:style w:type="paragraph" w:styleId="Header" w:customStyle="1">
    <w:name w:val="Header"/>
    <w:basedOn w:val="Normal"/>
    <w:qFormat/>
    <w:pPr>
      <w:tabs>
        <w:tab w:val="clear" w:pos="709"/>
        <w:tab w:val="center" w:pos="7142" w:leader="none"/>
        <w:tab w:val="right" w:pos="14285" w:leader="none"/>
      </w:tabs>
      <w:spacing w:lineRule="auto" w:line="240" w:before="0" w:after="0"/>
    </w:pPr>
    <w:rPr/>
  </w:style>
  <w:style w:type="paragraph" w:styleId="Footer" w:customStyle="1">
    <w:name w:val="Footer"/>
    <w:basedOn w:val="Normal"/>
    <w:qFormat/>
    <w:pPr>
      <w:tabs>
        <w:tab w:val="clear" w:pos="709"/>
        <w:tab w:val="center" w:pos="7142" w:leader="none"/>
        <w:tab w:val="right" w:pos="14285" w:leader="none"/>
      </w:tabs>
      <w:spacing w:lineRule="auto" w:line="240" w:before="0" w:after="0"/>
    </w:pPr>
    <w:rPr/>
  </w:style>
  <w:style w:type="paragraph" w:styleId="FootnoteText" w:customStyle="1">
    <w:name w:val="Footnote Text"/>
    <w:basedOn w:val="Normal"/>
    <w:qFormat/>
    <w:pPr>
      <w:spacing w:lineRule="auto" w:line="240" w:before="0" w:after="40"/>
    </w:pPr>
    <w:rPr>
      <w:sz w:val="18"/>
    </w:rPr>
  </w:style>
  <w:style w:type="paragraph" w:styleId="EndnoteText" w:customStyle="1">
    <w:name w:val="Endnote Text"/>
    <w:basedOn w:val="Normal"/>
    <w:qFormat/>
    <w:pPr>
      <w:spacing w:lineRule="auto" w:line="240" w:before="0" w:after="0"/>
    </w:pPr>
    <w:rPr>
      <w:sz w:val="20"/>
    </w:rPr>
  </w:style>
  <w:style w:type="paragraph" w:styleId="TOC1" w:customStyle="1">
    <w:name w:val="TOC 1"/>
    <w:basedOn w:val="Normal"/>
    <w:qFormat/>
    <w:pPr>
      <w:spacing w:before="0" w:after="57"/>
      <w:ind w:hanging="0" w:left="0" w:right="0"/>
    </w:pPr>
    <w:rPr/>
  </w:style>
  <w:style w:type="paragraph" w:styleId="TOC2" w:customStyle="1">
    <w:name w:val="TOC 2"/>
    <w:basedOn w:val="Normal"/>
    <w:qFormat/>
    <w:pPr>
      <w:spacing w:before="0" w:after="57"/>
      <w:ind w:hanging="0" w:left="283" w:right="0"/>
    </w:pPr>
    <w:rPr/>
  </w:style>
  <w:style w:type="paragraph" w:styleId="TOC3" w:customStyle="1">
    <w:name w:val="TOC 3"/>
    <w:basedOn w:val="Normal"/>
    <w:qFormat/>
    <w:pPr>
      <w:spacing w:before="0" w:after="57"/>
      <w:ind w:hanging="0" w:left="567" w:right="0"/>
    </w:pPr>
    <w:rPr/>
  </w:style>
  <w:style w:type="paragraph" w:styleId="TOC4" w:customStyle="1">
    <w:name w:val="TOC 4"/>
    <w:basedOn w:val="Normal"/>
    <w:qFormat/>
    <w:pPr>
      <w:spacing w:before="0" w:after="57"/>
      <w:ind w:hanging="0" w:left="850" w:right="0"/>
    </w:pPr>
    <w:rPr/>
  </w:style>
  <w:style w:type="paragraph" w:styleId="TOC5" w:customStyle="1">
    <w:name w:val="TOC 5"/>
    <w:basedOn w:val="Normal"/>
    <w:qFormat/>
    <w:pPr>
      <w:spacing w:before="0" w:after="57"/>
      <w:ind w:hanging="0" w:left="1134" w:right="0"/>
    </w:pPr>
    <w:rPr/>
  </w:style>
  <w:style w:type="paragraph" w:styleId="TOC6" w:customStyle="1">
    <w:name w:val="TOC 6"/>
    <w:basedOn w:val="Normal"/>
    <w:qFormat/>
    <w:pPr>
      <w:spacing w:before="0" w:after="57"/>
      <w:ind w:hanging="0" w:left="1417" w:right="0"/>
    </w:pPr>
    <w:rPr/>
  </w:style>
  <w:style w:type="paragraph" w:styleId="TOC7" w:customStyle="1">
    <w:name w:val="TOC 7"/>
    <w:basedOn w:val="Normal"/>
    <w:qFormat/>
    <w:pPr>
      <w:spacing w:before="0" w:after="57"/>
      <w:ind w:hanging="0" w:left="1701" w:right="0"/>
    </w:pPr>
    <w:rPr/>
  </w:style>
  <w:style w:type="paragraph" w:styleId="TOC8" w:customStyle="1">
    <w:name w:val="TOC 8"/>
    <w:basedOn w:val="Normal"/>
    <w:qFormat/>
    <w:pPr>
      <w:spacing w:before="0" w:after="57"/>
      <w:ind w:hanging="0" w:left="1984" w:right="0"/>
    </w:pPr>
    <w:rPr/>
  </w:style>
  <w:style w:type="paragraph" w:styleId="TOC9" w:customStyle="1">
    <w:name w:val="TOC 9"/>
    <w:basedOn w:val="Normal"/>
    <w:qFormat/>
    <w:pPr>
      <w:spacing w:before="0" w:after="57"/>
      <w:ind w:hanging="0" w:left="2268" w:right="0"/>
    </w:pPr>
    <w:rPr/>
  </w:style>
  <w:style w:type="paragraph" w:styleId="IndexHeading">
    <w:name w:val="Index Heading"/>
    <w:basedOn w:val="Style7"/>
    <w:pPr/>
    <w:rPr/>
  </w:style>
  <w:style w:type="paragraph" w:styleId="TOCHeading" w:customStyle="1">
    <w:name w:val="TOC Heading"/>
    <w:basedOn w:val="DStyleparagraph"/>
    <w:qFormat/>
    <w:pPr/>
    <w:rPr/>
  </w:style>
  <w:style w:type="paragraph" w:styleId="TableofFigures" w:customStyle="1">
    <w:name w:val="Table of Figures"/>
    <w:basedOn w:val="Normal"/>
    <w:qFormat/>
    <w:pPr>
      <w:spacing w:before="0" w:after="0"/>
    </w:pPr>
    <w:rPr/>
  </w:style>
  <w:style w:type="paragraph" w:styleId="Standard" w:customStyle="1">
    <w:name w:val="Standard"/>
    <w:basedOn w:val="DStyleparagraph"/>
    <w:qFormat/>
    <w:pPr/>
    <w:rPr/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onsPlusTitlePage" w:customStyle="1">
    <w:name w:val="ConsPlusTitlePage"/>
    <w:qFormat/>
    <w:pPr>
      <w:keepNext w:val="false"/>
      <w:keepLines w:val="false"/>
      <w:pageBreakBefore w:val="false"/>
      <w:widowControl w:val="false"/>
      <w:shd w:val="nil"/>
      <w:suppressAutoHyphens w:val="true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Tahoma" w:hAnsi="Tahoma" w:eastAsia="Times New Roman" w:cs="Tahoma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sz w:val="24"/>
      <w:szCs w:val="20"/>
      <w:u w:val="none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Arial" w:hAnsi="Arial" w:eastAsia="Times New Roman" w:cs="Arial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sz w:val="24"/>
      <w:szCs w:val="20"/>
      <w:u w:val="none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 pitchFamily="0" charset="1"/>
        <a:ea typeface="Liberation Sans" pitchFamily="0" charset="1"/>
        <a:cs typeface="Liberation Sans" pitchFamily="0" charset="1"/>
      </a:majorFont>
      <a:minorFont>
        <a:latin typeface="Liberation Sans" pitchFamily="0" charset="1"/>
        <a:ea typeface="Liberation Sans" pitchFamily="0" charset="1"/>
        <a:cs typeface="Liberation Sans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LibreOffice/7.6.7.2$Linux_X86_64 LibreOffice_project/60$Build-2</Application>
  <AppVersion>15.0000</AppVersion>
  <Pages>10</Pages>
  <Words>3076</Words>
  <Characters>21489</Characters>
  <CharactersWithSpaces>24434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2026-04-16T11:16:03Z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