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EBF" w:rsidRDefault="00652EBF" w:rsidP="00652EBF">
      <w:pPr>
        <w:keepNext/>
        <w:suppressAutoHyphens/>
        <w:spacing w:after="120"/>
        <w:jc w:val="center"/>
        <w:outlineLvl w:val="2"/>
        <w:rPr>
          <w:rFonts w:eastAsia="Lucida Sans Unicode"/>
          <w:b/>
          <w:bCs/>
        </w:rPr>
      </w:pPr>
      <w:bookmarkStart w:id="0" w:name="_Hlk94000479"/>
      <w:r w:rsidRPr="008C4E99">
        <w:rPr>
          <w:noProof/>
          <w:lang w:val="ru-RU"/>
        </w:rPr>
        <w:drawing>
          <wp:inline distT="0" distB="0" distL="0" distR="0" wp14:anchorId="58033CD1" wp14:editId="0F410BB3">
            <wp:extent cx="619125" cy="680525"/>
            <wp:effectExtent l="0" t="0" r="0" b="0"/>
            <wp:docPr id="1" name="Рисунок 1" descr="РУТ (МИИ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УТ (МИИТ)"/>
                    <pic:cNvPicPr>
                      <a:picLocks noChangeAspect="1" noChangeArrowheads="1"/>
                    </pic:cNvPicPr>
                  </pic:nvPicPr>
                  <pic:blipFill rotWithShape="1">
                    <a:blip r:embed="rId7">
                      <a:extLst>
                        <a:ext uri="{28A0092B-C50C-407E-A947-70E740481C1C}">
                          <a14:useLocalDpi xmlns:a14="http://schemas.microsoft.com/office/drawing/2010/main" val="0"/>
                        </a:ext>
                      </a:extLst>
                    </a:blip>
                    <a:srcRect l="3099" t="14674" r="71899" b="13043"/>
                    <a:stretch/>
                  </pic:blipFill>
                  <pic:spPr bwMode="auto">
                    <a:xfrm>
                      <a:off x="0" y="0"/>
                      <a:ext cx="622195" cy="683899"/>
                    </a:xfrm>
                    <a:prstGeom prst="rect">
                      <a:avLst/>
                    </a:prstGeom>
                    <a:noFill/>
                    <a:ln>
                      <a:noFill/>
                    </a:ln>
                    <a:extLst>
                      <a:ext uri="{53640926-AAD7-44D8-BBD7-CCE9431645EC}">
                        <a14:shadowObscured xmlns:a14="http://schemas.microsoft.com/office/drawing/2010/main"/>
                      </a:ext>
                    </a:extLst>
                  </pic:spPr>
                </pic:pic>
              </a:graphicData>
            </a:graphic>
          </wp:inline>
        </w:drawing>
      </w:r>
    </w:p>
    <w:p w:rsidR="00652EBF" w:rsidRPr="00652EBF" w:rsidRDefault="00652EBF" w:rsidP="00652EBF">
      <w:pPr>
        <w:keepNext/>
        <w:suppressAutoHyphens/>
        <w:spacing w:after="120"/>
        <w:jc w:val="center"/>
        <w:outlineLvl w:val="2"/>
        <w:rPr>
          <w:rFonts w:eastAsia="Lucida Sans Unicode"/>
          <w:b/>
          <w:bCs/>
          <w:lang w:val="ru-RU"/>
        </w:rPr>
      </w:pPr>
      <w:r w:rsidRPr="00652EBF">
        <w:rPr>
          <w:rFonts w:eastAsia="Lucida Sans Unicode"/>
          <w:b/>
          <w:bCs/>
          <w:lang w:val="ru-RU"/>
        </w:rPr>
        <w:t>МИНИСТЕРСТВО ТРАНСПОРТА РОССИЙСКОЙ ФЕДЕРАЦИИ</w:t>
      </w:r>
    </w:p>
    <w:p w:rsidR="00652EBF" w:rsidRPr="00652EBF" w:rsidRDefault="00652EBF" w:rsidP="00652EBF">
      <w:pPr>
        <w:suppressAutoHyphens/>
        <w:jc w:val="center"/>
        <w:rPr>
          <w:rFonts w:eastAsia="Lucida Sans Unicode"/>
          <w:b/>
          <w:sz w:val="20"/>
          <w:szCs w:val="20"/>
          <w:lang w:val="ru-RU"/>
        </w:rPr>
      </w:pPr>
      <w:r w:rsidRPr="00652EBF">
        <w:rPr>
          <w:rFonts w:eastAsia="Lucida Sans Unicode"/>
          <w:b/>
          <w:sz w:val="20"/>
          <w:szCs w:val="20"/>
          <w:lang w:val="ru-RU"/>
        </w:rPr>
        <w:t>ФЕДЕРАЛЬНОЕ ГОСУДАРСТВЕННОЕ АВТОНОМНОЕ ОБРАЗОВАТЕЛЬНОЕ</w:t>
      </w:r>
    </w:p>
    <w:p w:rsidR="00652EBF" w:rsidRPr="00652EBF" w:rsidRDefault="00652EBF" w:rsidP="00652EBF">
      <w:pPr>
        <w:suppressAutoHyphens/>
        <w:jc w:val="center"/>
        <w:rPr>
          <w:rFonts w:eastAsia="Lucida Sans Unicode"/>
          <w:b/>
          <w:sz w:val="20"/>
          <w:szCs w:val="20"/>
          <w:lang w:val="ru-RU"/>
        </w:rPr>
      </w:pPr>
      <w:r w:rsidRPr="00652EBF">
        <w:rPr>
          <w:rFonts w:eastAsia="Lucida Sans Unicode"/>
          <w:b/>
          <w:sz w:val="20"/>
          <w:szCs w:val="20"/>
          <w:lang w:val="ru-RU"/>
        </w:rPr>
        <w:t>УЧРЕЖДЕНИЕ ВЫСШЕГО ОБРАЗОВАНИЯ</w:t>
      </w:r>
    </w:p>
    <w:p w:rsidR="00652EBF" w:rsidRPr="00652EBF" w:rsidRDefault="00652EBF" w:rsidP="00652EBF">
      <w:pPr>
        <w:tabs>
          <w:tab w:val="left" w:pos="1230"/>
          <w:tab w:val="center" w:pos="4679"/>
        </w:tabs>
        <w:suppressAutoHyphens/>
        <w:jc w:val="center"/>
        <w:rPr>
          <w:rFonts w:eastAsia="Lucida Sans Unicode"/>
          <w:b/>
          <w:lang w:val="ru-RU"/>
        </w:rPr>
      </w:pPr>
      <w:r w:rsidRPr="00652EBF">
        <w:rPr>
          <w:rFonts w:eastAsia="Lucida Sans Unicode"/>
          <w:b/>
          <w:lang w:val="ru-RU"/>
        </w:rPr>
        <w:t>«РОССИЙСКИЙ УНИВЕРСИТЕТ ТРАНСПОРТА»</w:t>
      </w:r>
    </w:p>
    <w:p w:rsidR="00652EBF" w:rsidRDefault="00652EBF" w:rsidP="00652EBF">
      <w:pPr>
        <w:suppressAutoHyphens/>
        <w:jc w:val="center"/>
        <w:rPr>
          <w:rFonts w:eastAsia="Lucida Sans Unicode"/>
          <w:b/>
        </w:rPr>
      </w:pPr>
      <w:r>
        <w:rPr>
          <w:rFonts w:eastAsia="Lucida Sans Unicode"/>
          <w:b/>
        </w:rPr>
        <w:t>(РУТ (МИИТ)</w:t>
      </w:r>
    </w:p>
    <w:p w:rsidR="00652EBF" w:rsidRDefault="00652EBF" w:rsidP="00652EBF">
      <w:pPr>
        <w:rPr>
          <w:rFonts w:eastAsia="Times New Roman"/>
        </w:rPr>
      </w:pPr>
    </w:p>
    <w:tbl>
      <w:tblPr>
        <w:tblW w:w="0" w:type="auto"/>
        <w:jc w:val="center"/>
        <w:tblLayout w:type="fixed"/>
        <w:tblLook w:val="04A0" w:firstRow="1" w:lastRow="0" w:firstColumn="1" w:lastColumn="0" w:noHBand="0" w:noVBand="1"/>
      </w:tblPr>
      <w:tblGrid>
        <w:gridCol w:w="8781"/>
      </w:tblGrid>
      <w:tr w:rsidR="00652EBF" w:rsidTr="005274FF">
        <w:trPr>
          <w:trHeight w:val="686"/>
          <w:jc w:val="center"/>
        </w:trPr>
        <w:tc>
          <w:tcPr>
            <w:tcW w:w="8781" w:type="dxa"/>
            <w:hideMark/>
          </w:tcPr>
          <w:p w:rsidR="00652EBF" w:rsidRDefault="00652EBF" w:rsidP="005274FF">
            <w:pPr>
              <w:shd w:val="clear" w:color="auto" w:fill="FFFFFF"/>
              <w:jc w:val="center"/>
              <w:rPr>
                <w:rFonts w:eastAsia="Times New Roman"/>
                <w:b/>
                <w:bCs/>
                <w:sz w:val="16"/>
                <w:szCs w:val="16"/>
              </w:rPr>
            </w:pPr>
            <w:r>
              <w:rPr>
                <w:rFonts w:eastAsia="Times New Roman"/>
                <w:b/>
                <w:bCs/>
              </w:rPr>
              <w:t>ЮРИДИЧЕСКИЙ ИНСТИТУТ</w:t>
            </w:r>
          </w:p>
          <w:p w:rsidR="00652EBF" w:rsidRDefault="00652EBF" w:rsidP="005274FF">
            <w:pPr>
              <w:jc w:val="center"/>
              <w:rPr>
                <w:rFonts w:eastAsia="Times New Roman"/>
              </w:rPr>
            </w:pPr>
            <w:r>
              <w:rPr>
                <w:rFonts w:eastAsia="Times New Roman"/>
              </w:rPr>
              <w:t>___________________________________________________________________</w:t>
            </w:r>
          </w:p>
        </w:tc>
      </w:tr>
    </w:tbl>
    <w:p w:rsidR="00652EBF" w:rsidRPr="00652EBF" w:rsidRDefault="00652EBF" w:rsidP="00652EBF">
      <w:pPr>
        <w:ind w:right="-567"/>
        <w:jc w:val="center"/>
        <w:rPr>
          <w:rFonts w:eastAsia="Times New Roman"/>
          <w:lang w:val="ru-RU"/>
        </w:rPr>
      </w:pPr>
      <w:r w:rsidRPr="00652EBF">
        <w:rPr>
          <w:rFonts w:eastAsia="Times New Roman"/>
          <w:lang w:val="ru-RU"/>
        </w:rPr>
        <w:t>Кафедра «Уголовное право, уголовный процесс и криминология»</w:t>
      </w:r>
    </w:p>
    <w:p w:rsidR="00652EBF" w:rsidRPr="00652EBF" w:rsidRDefault="00652EBF" w:rsidP="00652EBF">
      <w:pPr>
        <w:ind w:right="121"/>
        <w:jc w:val="center"/>
        <w:rPr>
          <w:rFonts w:eastAsia="Times New Roman"/>
          <w:b/>
          <w:sz w:val="40"/>
          <w:szCs w:val="40"/>
          <w:lang w:val="ru-RU"/>
        </w:rPr>
      </w:pPr>
    </w:p>
    <w:p w:rsidR="00652EBF" w:rsidRPr="00652EBF" w:rsidRDefault="00652EBF" w:rsidP="00652EBF">
      <w:pPr>
        <w:ind w:right="121"/>
        <w:jc w:val="center"/>
        <w:rPr>
          <w:rFonts w:eastAsia="Times New Roman"/>
          <w:b/>
          <w:lang w:val="ru-RU"/>
        </w:rPr>
      </w:pPr>
      <w:r w:rsidRPr="00652EBF">
        <w:rPr>
          <w:rFonts w:eastAsia="Times New Roman"/>
          <w:b/>
          <w:lang w:val="ru-RU"/>
        </w:rPr>
        <w:t>ПРАКТИЧЕСКАЯ   РАБОТА ПО НАУЧНОЙ СТАТЬЕ</w:t>
      </w:r>
    </w:p>
    <w:p w:rsidR="00652EBF" w:rsidRPr="00652EBF" w:rsidRDefault="00652EBF" w:rsidP="00652EBF">
      <w:pPr>
        <w:ind w:right="121"/>
        <w:jc w:val="center"/>
        <w:rPr>
          <w:rFonts w:eastAsia="Times New Roman"/>
          <w:b/>
          <w:lang w:val="ru-RU"/>
        </w:rPr>
      </w:pPr>
      <w:r w:rsidRPr="00652EBF">
        <w:rPr>
          <w:rFonts w:eastAsia="Times New Roman"/>
          <w:b/>
          <w:lang w:val="ru-RU"/>
        </w:rPr>
        <w:t>по дисциплине</w:t>
      </w:r>
    </w:p>
    <w:p w:rsidR="00652EBF" w:rsidRDefault="00652EBF" w:rsidP="00652EBF">
      <w:pPr>
        <w:ind w:firstLine="142"/>
        <w:jc w:val="center"/>
        <w:rPr>
          <w:rFonts w:eastAsia="Times New Roman"/>
          <w:b/>
          <w:lang w:val="ru-RU"/>
        </w:rPr>
      </w:pPr>
      <w:r w:rsidRPr="00652EBF">
        <w:rPr>
          <w:rFonts w:eastAsia="Times New Roman"/>
          <w:b/>
          <w:lang w:val="ru-RU"/>
        </w:rPr>
        <w:t>«Проектная деятельность»</w:t>
      </w:r>
    </w:p>
    <w:p w:rsidR="00652EBF" w:rsidRPr="00652EBF" w:rsidRDefault="00652EBF" w:rsidP="00652EBF">
      <w:pPr>
        <w:ind w:firstLine="142"/>
        <w:jc w:val="center"/>
        <w:rPr>
          <w:rFonts w:eastAsia="Times New Roman"/>
          <w:b/>
          <w:highlight w:val="yellow"/>
          <w:lang w:val="ru-RU"/>
        </w:rPr>
      </w:pPr>
      <w:r>
        <w:rPr>
          <w:rFonts w:eastAsia="Times New Roman"/>
          <w:b/>
          <w:i/>
          <w:lang w:val="x-none" w:eastAsia="x-none"/>
        </w:rPr>
        <w:t>Автор-составитель</w:t>
      </w:r>
      <w:r w:rsidRPr="00652EBF">
        <w:rPr>
          <w:rFonts w:eastAsia="Times New Roman"/>
          <w:b/>
          <w:i/>
          <w:lang w:val="ru-RU" w:eastAsia="x-none"/>
        </w:rPr>
        <w:t xml:space="preserve">: </w:t>
      </w:r>
    </w:p>
    <w:p w:rsidR="00652EBF" w:rsidRPr="00652EBF" w:rsidRDefault="00652EBF" w:rsidP="00652EBF">
      <w:pPr>
        <w:jc w:val="center"/>
        <w:rPr>
          <w:rFonts w:eastAsia="Times New Roman"/>
          <w:i/>
          <w:lang w:val="ru-RU"/>
        </w:rPr>
      </w:pPr>
      <w:r w:rsidRPr="00652EBF">
        <w:rPr>
          <w:rFonts w:eastAsia="Times New Roman"/>
          <w:lang w:val="ru-RU" w:eastAsia="x-none"/>
        </w:rPr>
        <w:t>Студент РУТ МИИТ ЮПБ-361 Мифтафутдинова Диана Вадимовна</w:t>
      </w:r>
    </w:p>
    <w:p w:rsidR="00652EBF" w:rsidRPr="006D6ABC" w:rsidRDefault="000F2386" w:rsidP="000F2386">
      <w:pPr>
        <w:autoSpaceDE w:val="0"/>
        <w:autoSpaceDN w:val="0"/>
        <w:adjustRightInd w:val="0"/>
        <w:ind w:firstLine="540"/>
        <w:jc w:val="center"/>
        <w:rPr>
          <w:rFonts w:eastAsia="Times New Roman"/>
          <w:b/>
          <w:i/>
          <w:lang w:val="ru-RU"/>
        </w:rPr>
      </w:pPr>
      <w:r w:rsidRPr="006D6ABC">
        <w:rPr>
          <w:rFonts w:eastAsia="Times New Roman"/>
          <w:b/>
          <w:i/>
          <w:lang w:val="ru-RU"/>
        </w:rPr>
        <w:t>Научный руководитель:</w:t>
      </w:r>
    </w:p>
    <w:p w:rsidR="000F2386" w:rsidRPr="000F2386" w:rsidRDefault="000F2386" w:rsidP="000F2386">
      <w:pPr>
        <w:autoSpaceDE w:val="0"/>
        <w:autoSpaceDN w:val="0"/>
        <w:adjustRightInd w:val="0"/>
        <w:ind w:firstLine="540"/>
        <w:jc w:val="center"/>
        <w:rPr>
          <w:rFonts w:eastAsia="Times New Roman"/>
          <w:lang w:val="ru-RU"/>
        </w:rPr>
      </w:pPr>
      <w:r>
        <w:rPr>
          <w:rFonts w:eastAsia="Times New Roman"/>
          <w:lang w:val="ru-RU"/>
        </w:rPr>
        <w:t>Доцент кафедры, к.ю.н., доцент Горовой Виктор Владимирович</w:t>
      </w:r>
    </w:p>
    <w:p w:rsidR="00652EBF" w:rsidRPr="00652EBF" w:rsidRDefault="00652EBF" w:rsidP="00652EBF">
      <w:pPr>
        <w:autoSpaceDE w:val="0"/>
        <w:autoSpaceDN w:val="0"/>
        <w:adjustRightInd w:val="0"/>
        <w:ind w:firstLine="540"/>
        <w:rPr>
          <w:rFonts w:eastAsia="Times New Roman"/>
          <w:lang w:val="ru-RU"/>
        </w:rPr>
      </w:pPr>
      <w:r w:rsidRPr="00652EBF">
        <w:rPr>
          <w:rFonts w:eastAsia="Times New Roman"/>
          <w:lang w:val="ru-RU"/>
        </w:rPr>
        <w:t xml:space="preserve"> </w:t>
      </w:r>
    </w:p>
    <w:p w:rsidR="00652EBF" w:rsidRPr="00652EBF" w:rsidRDefault="00652EBF" w:rsidP="00652EBF">
      <w:pPr>
        <w:ind w:firstLine="284"/>
        <w:rPr>
          <w:rFonts w:eastAsia="Times New Roman"/>
          <w:b/>
          <w:i/>
          <w:lang w:val="ru-RU" w:eastAsia="x-none"/>
        </w:rPr>
      </w:pPr>
    </w:p>
    <w:p w:rsidR="00652EBF" w:rsidRDefault="00652EBF" w:rsidP="00652EBF">
      <w:pPr>
        <w:shd w:val="clear" w:color="auto" w:fill="FFFFFF"/>
        <w:suppressAutoHyphens/>
        <w:spacing w:before="240"/>
        <w:ind w:right="45"/>
        <w:jc w:val="center"/>
        <w:rPr>
          <w:rFonts w:eastAsia="Times New Roman"/>
          <w:b/>
          <w:bCs/>
        </w:rPr>
      </w:pPr>
      <w:r>
        <w:rPr>
          <w:rFonts w:eastAsia="Times New Roman"/>
          <w:b/>
          <w:bCs/>
        </w:rPr>
        <w:t>Москва 2026</w:t>
      </w:r>
      <w:r w:rsidRPr="00827D0B">
        <w:rPr>
          <w:rFonts w:eastAsia="Times New Roman"/>
          <w:b/>
          <w:bCs/>
        </w:rPr>
        <w:t xml:space="preserve"> </w:t>
      </w:r>
    </w:p>
    <w:bookmarkEnd w:id="0"/>
    <w:p w:rsidR="00057329" w:rsidRDefault="00057329">
      <w:pPr>
        <w:sectPr w:rsidR="00057329">
          <w:pgSz w:w="11905" w:h="16837"/>
          <w:pgMar w:top="1133" w:right="566" w:bottom="1133" w:left="1700" w:header="720" w:footer="720" w:gutter="0"/>
          <w:cols w:space="720"/>
        </w:sectPr>
      </w:pPr>
    </w:p>
    <w:p w:rsidR="00057329" w:rsidRDefault="00690B28">
      <w:pPr>
        <w:spacing w:after="240"/>
        <w:jc w:val="center"/>
      </w:pPr>
      <w:r>
        <w:rPr>
          <w:rFonts w:eastAsia="Times New Roman"/>
          <w:b/>
          <w:bCs/>
          <w:caps/>
        </w:rPr>
        <w:lastRenderedPageBreak/>
        <w:t>СОДЕРЖАНИЕ</w:t>
      </w:r>
    </w:p>
    <w:p w:rsidR="00652EBF" w:rsidRDefault="00690B28">
      <w:pPr>
        <w:pStyle w:val="10"/>
        <w:tabs>
          <w:tab w:val="right" w:leader="dot" w:pos="9629"/>
        </w:tabs>
        <w:rPr>
          <w:noProof/>
        </w:rPr>
      </w:pPr>
      <w:r>
        <w:fldChar w:fldCharType="begin"/>
      </w:r>
      <w:r>
        <w:instrText>TOC \o 1-9 \h \z \u</w:instrText>
      </w:r>
      <w:r>
        <w:fldChar w:fldCharType="separate"/>
      </w:r>
      <w:hyperlink w:anchor="_Toc226643049" w:history="1">
        <w:r w:rsidR="00652EBF" w:rsidRPr="003349E1">
          <w:rPr>
            <w:rStyle w:val="a4"/>
            <w:noProof/>
          </w:rPr>
          <w:t>ВВЕДЕНИЕ</w:t>
        </w:r>
        <w:r w:rsidR="00652EBF">
          <w:rPr>
            <w:noProof/>
            <w:webHidden/>
          </w:rPr>
          <w:tab/>
        </w:r>
        <w:r w:rsidR="00652EBF">
          <w:rPr>
            <w:noProof/>
            <w:webHidden/>
          </w:rPr>
          <w:fldChar w:fldCharType="begin"/>
        </w:r>
        <w:r w:rsidR="00652EBF">
          <w:rPr>
            <w:noProof/>
            <w:webHidden/>
          </w:rPr>
          <w:instrText xml:space="preserve"> PAGEREF _Toc226643049 \h </w:instrText>
        </w:r>
        <w:r w:rsidR="00652EBF">
          <w:rPr>
            <w:noProof/>
            <w:webHidden/>
          </w:rPr>
        </w:r>
        <w:r w:rsidR="00652EBF">
          <w:rPr>
            <w:noProof/>
            <w:webHidden/>
          </w:rPr>
          <w:fldChar w:fldCharType="separate"/>
        </w:r>
        <w:r w:rsidR="00652EBF">
          <w:rPr>
            <w:noProof/>
            <w:webHidden/>
          </w:rPr>
          <w:t>5</w:t>
        </w:r>
        <w:r w:rsidR="00652EBF">
          <w:rPr>
            <w:noProof/>
            <w:webHidden/>
          </w:rPr>
          <w:fldChar w:fldCharType="end"/>
        </w:r>
      </w:hyperlink>
    </w:p>
    <w:p w:rsidR="00652EBF" w:rsidRDefault="00DA5DBA">
      <w:pPr>
        <w:pStyle w:val="10"/>
        <w:tabs>
          <w:tab w:val="right" w:leader="dot" w:pos="9629"/>
        </w:tabs>
        <w:rPr>
          <w:noProof/>
        </w:rPr>
      </w:pPr>
      <w:hyperlink w:anchor="_Toc226643050" w:history="1">
        <w:r w:rsidR="00652EBF" w:rsidRPr="003349E1">
          <w:rPr>
            <w:rStyle w:val="a4"/>
            <w:noProof/>
          </w:rPr>
          <w:t>ГЛАВА 1</w:t>
        </w:r>
        <w:r w:rsidR="00652EBF">
          <w:rPr>
            <w:rStyle w:val="a4"/>
            <w:noProof/>
            <w:lang w:val="ru-RU"/>
          </w:rPr>
          <w:t>.</w:t>
        </w:r>
        <w:r w:rsidR="00652EBF" w:rsidRPr="003349E1">
          <w:rPr>
            <w:rStyle w:val="a4"/>
            <w:noProof/>
          </w:rPr>
          <w:t xml:space="preserve"> КЛАССИФИКАЦИЯ ИИ-МОШЕННИЧЕСТВА И ПРАВОВЫЕ ПРОБЕЛЫ</w:t>
        </w:r>
        <w:r w:rsidR="00652EBF">
          <w:rPr>
            <w:noProof/>
            <w:webHidden/>
          </w:rPr>
          <w:tab/>
        </w:r>
        <w:r w:rsidR="00652EBF">
          <w:rPr>
            <w:noProof/>
            <w:webHidden/>
          </w:rPr>
          <w:fldChar w:fldCharType="begin"/>
        </w:r>
        <w:r w:rsidR="00652EBF">
          <w:rPr>
            <w:noProof/>
            <w:webHidden/>
          </w:rPr>
          <w:instrText xml:space="preserve"> PAGEREF _Toc226643050 \h </w:instrText>
        </w:r>
        <w:r w:rsidR="00652EBF">
          <w:rPr>
            <w:noProof/>
            <w:webHidden/>
          </w:rPr>
        </w:r>
        <w:r w:rsidR="00652EBF">
          <w:rPr>
            <w:noProof/>
            <w:webHidden/>
          </w:rPr>
          <w:fldChar w:fldCharType="separate"/>
        </w:r>
        <w:r w:rsidR="00652EBF">
          <w:rPr>
            <w:noProof/>
            <w:webHidden/>
          </w:rPr>
          <w:t>8</w:t>
        </w:r>
        <w:r w:rsidR="00652EBF">
          <w:rPr>
            <w:noProof/>
            <w:webHidden/>
          </w:rPr>
          <w:fldChar w:fldCharType="end"/>
        </w:r>
      </w:hyperlink>
    </w:p>
    <w:p w:rsidR="00652EBF" w:rsidRDefault="00DA5DBA">
      <w:pPr>
        <w:pStyle w:val="20"/>
        <w:tabs>
          <w:tab w:val="right" w:leader="dot" w:pos="9629"/>
        </w:tabs>
        <w:rPr>
          <w:noProof/>
        </w:rPr>
      </w:pPr>
      <w:hyperlink w:anchor="_Toc226643051" w:history="1">
        <w:r w:rsidR="00652EBF" w:rsidRPr="003349E1">
          <w:rPr>
            <w:rStyle w:val="a4"/>
            <w:noProof/>
          </w:rPr>
          <w:t>1.1. Эволюция мошенничества: от традиционных схем к ИИ-технологиям</w:t>
        </w:r>
        <w:r w:rsidR="00652EBF">
          <w:rPr>
            <w:noProof/>
            <w:webHidden/>
          </w:rPr>
          <w:tab/>
        </w:r>
        <w:r w:rsidR="00652EBF">
          <w:rPr>
            <w:noProof/>
            <w:webHidden/>
          </w:rPr>
          <w:fldChar w:fldCharType="begin"/>
        </w:r>
        <w:r w:rsidR="00652EBF">
          <w:rPr>
            <w:noProof/>
            <w:webHidden/>
          </w:rPr>
          <w:instrText xml:space="preserve"> PAGEREF _Toc226643051 \h </w:instrText>
        </w:r>
        <w:r w:rsidR="00652EBF">
          <w:rPr>
            <w:noProof/>
            <w:webHidden/>
          </w:rPr>
        </w:r>
        <w:r w:rsidR="00652EBF">
          <w:rPr>
            <w:noProof/>
            <w:webHidden/>
          </w:rPr>
          <w:fldChar w:fldCharType="separate"/>
        </w:r>
        <w:r w:rsidR="00652EBF">
          <w:rPr>
            <w:noProof/>
            <w:webHidden/>
          </w:rPr>
          <w:t>8</w:t>
        </w:r>
        <w:r w:rsidR="00652EBF">
          <w:rPr>
            <w:noProof/>
            <w:webHidden/>
          </w:rPr>
          <w:fldChar w:fldCharType="end"/>
        </w:r>
      </w:hyperlink>
    </w:p>
    <w:p w:rsidR="00652EBF" w:rsidRDefault="00DA5DBA">
      <w:pPr>
        <w:pStyle w:val="20"/>
        <w:tabs>
          <w:tab w:val="right" w:leader="dot" w:pos="9629"/>
        </w:tabs>
        <w:rPr>
          <w:noProof/>
        </w:rPr>
      </w:pPr>
      <w:hyperlink w:anchor="_Toc226643052" w:history="1">
        <w:r w:rsidR="00652EBF" w:rsidRPr="003349E1">
          <w:rPr>
            <w:rStyle w:val="a4"/>
            <w:noProof/>
          </w:rPr>
          <w:t>1.2. Основные виды мошенничества с использованием ИИ: дипфейки, фишинг, генерация персональных данных</w:t>
        </w:r>
        <w:r w:rsidR="00652EBF">
          <w:rPr>
            <w:noProof/>
            <w:webHidden/>
          </w:rPr>
          <w:tab/>
        </w:r>
        <w:r w:rsidR="00652EBF">
          <w:rPr>
            <w:noProof/>
            <w:webHidden/>
          </w:rPr>
          <w:fldChar w:fldCharType="begin"/>
        </w:r>
        <w:r w:rsidR="00652EBF">
          <w:rPr>
            <w:noProof/>
            <w:webHidden/>
          </w:rPr>
          <w:instrText xml:space="preserve"> PAGEREF _Toc226643052 \h </w:instrText>
        </w:r>
        <w:r w:rsidR="00652EBF">
          <w:rPr>
            <w:noProof/>
            <w:webHidden/>
          </w:rPr>
        </w:r>
        <w:r w:rsidR="00652EBF">
          <w:rPr>
            <w:noProof/>
            <w:webHidden/>
          </w:rPr>
          <w:fldChar w:fldCharType="separate"/>
        </w:r>
        <w:r w:rsidR="00652EBF">
          <w:rPr>
            <w:noProof/>
            <w:webHidden/>
          </w:rPr>
          <w:t>9</w:t>
        </w:r>
        <w:r w:rsidR="00652EBF">
          <w:rPr>
            <w:noProof/>
            <w:webHidden/>
          </w:rPr>
          <w:fldChar w:fldCharType="end"/>
        </w:r>
      </w:hyperlink>
    </w:p>
    <w:p w:rsidR="00652EBF" w:rsidRDefault="00DA5DBA">
      <w:pPr>
        <w:pStyle w:val="20"/>
        <w:tabs>
          <w:tab w:val="right" w:leader="dot" w:pos="9629"/>
        </w:tabs>
        <w:rPr>
          <w:noProof/>
        </w:rPr>
      </w:pPr>
      <w:hyperlink w:anchor="_Toc226643053" w:history="1">
        <w:r w:rsidR="00652EBF" w:rsidRPr="003349E1">
          <w:rPr>
            <w:rStyle w:val="a4"/>
            <w:noProof/>
          </w:rPr>
          <w:t>1.3. Анализ существующих правовых норм и выявление пробелов в законодательстве РФ</w:t>
        </w:r>
        <w:r w:rsidR="00652EBF">
          <w:rPr>
            <w:noProof/>
            <w:webHidden/>
          </w:rPr>
          <w:tab/>
        </w:r>
        <w:r w:rsidR="00652EBF">
          <w:rPr>
            <w:noProof/>
            <w:webHidden/>
          </w:rPr>
          <w:fldChar w:fldCharType="begin"/>
        </w:r>
        <w:r w:rsidR="00652EBF">
          <w:rPr>
            <w:noProof/>
            <w:webHidden/>
          </w:rPr>
          <w:instrText xml:space="preserve"> PAGEREF _Toc226643053 \h </w:instrText>
        </w:r>
        <w:r w:rsidR="00652EBF">
          <w:rPr>
            <w:noProof/>
            <w:webHidden/>
          </w:rPr>
        </w:r>
        <w:r w:rsidR="00652EBF">
          <w:rPr>
            <w:noProof/>
            <w:webHidden/>
          </w:rPr>
          <w:fldChar w:fldCharType="separate"/>
        </w:r>
        <w:r w:rsidR="00652EBF">
          <w:rPr>
            <w:noProof/>
            <w:webHidden/>
          </w:rPr>
          <w:t>10</w:t>
        </w:r>
        <w:r w:rsidR="00652EBF">
          <w:rPr>
            <w:noProof/>
            <w:webHidden/>
          </w:rPr>
          <w:fldChar w:fldCharType="end"/>
        </w:r>
      </w:hyperlink>
    </w:p>
    <w:p w:rsidR="00652EBF" w:rsidRDefault="00DA5DBA">
      <w:pPr>
        <w:pStyle w:val="10"/>
        <w:tabs>
          <w:tab w:val="right" w:leader="dot" w:pos="9629"/>
        </w:tabs>
        <w:rPr>
          <w:noProof/>
        </w:rPr>
      </w:pPr>
      <w:hyperlink w:anchor="_Toc226643054" w:history="1">
        <w:r w:rsidR="00652EBF" w:rsidRPr="003349E1">
          <w:rPr>
            <w:rStyle w:val="a4"/>
            <w:noProof/>
          </w:rPr>
          <w:t>ГЛАВА 2</w:t>
        </w:r>
        <w:r w:rsidR="00652EBF">
          <w:rPr>
            <w:rStyle w:val="a4"/>
            <w:noProof/>
            <w:lang w:val="ru-RU"/>
          </w:rPr>
          <w:t>.</w:t>
        </w:r>
        <w:r w:rsidR="00652EBF" w:rsidRPr="003349E1">
          <w:rPr>
            <w:rStyle w:val="a4"/>
            <w:noProof/>
          </w:rPr>
          <w:t xml:space="preserve"> ЭФФЕКТИВНОСТЬ ТЕКУЩИХ МЕХАНИЗМОВ</w:t>
        </w:r>
        <w:r w:rsidR="00652EBF">
          <w:rPr>
            <w:noProof/>
            <w:webHidden/>
          </w:rPr>
          <w:tab/>
        </w:r>
        <w:r w:rsidR="00652EBF">
          <w:rPr>
            <w:noProof/>
            <w:webHidden/>
          </w:rPr>
          <w:fldChar w:fldCharType="begin"/>
        </w:r>
        <w:r w:rsidR="00652EBF">
          <w:rPr>
            <w:noProof/>
            <w:webHidden/>
          </w:rPr>
          <w:instrText xml:space="preserve"> PAGEREF _Toc226643054 \h </w:instrText>
        </w:r>
        <w:r w:rsidR="00652EBF">
          <w:rPr>
            <w:noProof/>
            <w:webHidden/>
          </w:rPr>
        </w:r>
        <w:r w:rsidR="00652EBF">
          <w:rPr>
            <w:noProof/>
            <w:webHidden/>
          </w:rPr>
          <w:fldChar w:fldCharType="separate"/>
        </w:r>
        <w:r w:rsidR="00652EBF">
          <w:rPr>
            <w:noProof/>
            <w:webHidden/>
          </w:rPr>
          <w:t>13</w:t>
        </w:r>
        <w:r w:rsidR="00652EBF">
          <w:rPr>
            <w:noProof/>
            <w:webHidden/>
          </w:rPr>
          <w:fldChar w:fldCharType="end"/>
        </w:r>
      </w:hyperlink>
    </w:p>
    <w:p w:rsidR="00652EBF" w:rsidRDefault="00DA5DBA">
      <w:pPr>
        <w:pStyle w:val="20"/>
        <w:tabs>
          <w:tab w:val="right" w:leader="dot" w:pos="9629"/>
        </w:tabs>
        <w:rPr>
          <w:noProof/>
        </w:rPr>
      </w:pPr>
      <w:hyperlink w:anchor="_Toc226643055" w:history="1">
        <w:r w:rsidR="00652EBF" w:rsidRPr="003349E1">
          <w:rPr>
            <w:rStyle w:val="a4"/>
            <w:noProof/>
          </w:rPr>
          <w:t>2.1. Проблемы квалификации преступлений, связанных с ИИ-мошенничеством</w:t>
        </w:r>
        <w:r w:rsidR="00652EBF">
          <w:rPr>
            <w:noProof/>
            <w:webHidden/>
          </w:rPr>
          <w:tab/>
        </w:r>
        <w:r w:rsidR="00652EBF">
          <w:rPr>
            <w:noProof/>
            <w:webHidden/>
          </w:rPr>
          <w:fldChar w:fldCharType="begin"/>
        </w:r>
        <w:r w:rsidR="00652EBF">
          <w:rPr>
            <w:noProof/>
            <w:webHidden/>
          </w:rPr>
          <w:instrText xml:space="preserve"> PAGEREF _Toc226643055 \h </w:instrText>
        </w:r>
        <w:r w:rsidR="00652EBF">
          <w:rPr>
            <w:noProof/>
            <w:webHidden/>
          </w:rPr>
        </w:r>
        <w:r w:rsidR="00652EBF">
          <w:rPr>
            <w:noProof/>
            <w:webHidden/>
          </w:rPr>
          <w:fldChar w:fldCharType="separate"/>
        </w:r>
        <w:r w:rsidR="00652EBF">
          <w:rPr>
            <w:noProof/>
            <w:webHidden/>
          </w:rPr>
          <w:t>13</w:t>
        </w:r>
        <w:r w:rsidR="00652EBF">
          <w:rPr>
            <w:noProof/>
            <w:webHidden/>
          </w:rPr>
          <w:fldChar w:fldCharType="end"/>
        </w:r>
      </w:hyperlink>
    </w:p>
    <w:p w:rsidR="00652EBF" w:rsidRDefault="00DA5DBA">
      <w:pPr>
        <w:pStyle w:val="20"/>
        <w:tabs>
          <w:tab w:val="right" w:leader="dot" w:pos="9629"/>
        </w:tabs>
        <w:rPr>
          <w:noProof/>
        </w:rPr>
      </w:pPr>
      <w:hyperlink w:anchor="_Toc226643056" w:history="1">
        <w:r w:rsidR="00652EBF" w:rsidRPr="003349E1">
          <w:rPr>
            <w:rStyle w:val="a4"/>
            <w:noProof/>
          </w:rPr>
          <w:t>2.2. Сложности доказывания умысла и идентификации субъектов преступлений</w:t>
        </w:r>
        <w:r w:rsidR="00652EBF">
          <w:rPr>
            <w:noProof/>
            <w:webHidden/>
          </w:rPr>
          <w:tab/>
        </w:r>
        <w:r w:rsidR="00652EBF">
          <w:rPr>
            <w:noProof/>
            <w:webHidden/>
          </w:rPr>
          <w:fldChar w:fldCharType="begin"/>
        </w:r>
        <w:r w:rsidR="00652EBF">
          <w:rPr>
            <w:noProof/>
            <w:webHidden/>
          </w:rPr>
          <w:instrText xml:space="preserve"> PAGEREF _Toc226643056 \h </w:instrText>
        </w:r>
        <w:r w:rsidR="00652EBF">
          <w:rPr>
            <w:noProof/>
            <w:webHidden/>
          </w:rPr>
        </w:r>
        <w:r w:rsidR="00652EBF">
          <w:rPr>
            <w:noProof/>
            <w:webHidden/>
          </w:rPr>
          <w:fldChar w:fldCharType="separate"/>
        </w:r>
        <w:r w:rsidR="00652EBF">
          <w:rPr>
            <w:noProof/>
            <w:webHidden/>
          </w:rPr>
          <w:t>14</w:t>
        </w:r>
        <w:r w:rsidR="00652EBF">
          <w:rPr>
            <w:noProof/>
            <w:webHidden/>
          </w:rPr>
          <w:fldChar w:fldCharType="end"/>
        </w:r>
      </w:hyperlink>
    </w:p>
    <w:p w:rsidR="00652EBF" w:rsidRDefault="00DA5DBA">
      <w:pPr>
        <w:pStyle w:val="20"/>
        <w:tabs>
          <w:tab w:val="right" w:leader="dot" w:pos="9629"/>
        </w:tabs>
        <w:rPr>
          <w:noProof/>
        </w:rPr>
      </w:pPr>
      <w:hyperlink w:anchor="_Toc226643057" w:history="1">
        <w:r w:rsidR="00652EBF" w:rsidRPr="003349E1">
          <w:rPr>
            <w:rStyle w:val="a4"/>
            <w:noProof/>
          </w:rPr>
          <w:t>2.3. Оценка эффективности существующих инструментов расследования и судебного преследования</w:t>
        </w:r>
        <w:r w:rsidR="00652EBF">
          <w:rPr>
            <w:noProof/>
            <w:webHidden/>
          </w:rPr>
          <w:tab/>
        </w:r>
        <w:r w:rsidR="00652EBF">
          <w:rPr>
            <w:noProof/>
            <w:webHidden/>
          </w:rPr>
          <w:fldChar w:fldCharType="begin"/>
        </w:r>
        <w:r w:rsidR="00652EBF">
          <w:rPr>
            <w:noProof/>
            <w:webHidden/>
          </w:rPr>
          <w:instrText xml:space="preserve"> PAGEREF _Toc226643057 \h </w:instrText>
        </w:r>
        <w:r w:rsidR="00652EBF">
          <w:rPr>
            <w:noProof/>
            <w:webHidden/>
          </w:rPr>
        </w:r>
        <w:r w:rsidR="00652EBF">
          <w:rPr>
            <w:noProof/>
            <w:webHidden/>
          </w:rPr>
          <w:fldChar w:fldCharType="separate"/>
        </w:r>
        <w:r w:rsidR="00652EBF">
          <w:rPr>
            <w:noProof/>
            <w:webHidden/>
          </w:rPr>
          <w:t>15</w:t>
        </w:r>
        <w:r w:rsidR="00652EBF">
          <w:rPr>
            <w:noProof/>
            <w:webHidden/>
          </w:rPr>
          <w:fldChar w:fldCharType="end"/>
        </w:r>
      </w:hyperlink>
    </w:p>
    <w:p w:rsidR="00652EBF" w:rsidRDefault="00DA5DBA">
      <w:pPr>
        <w:pStyle w:val="10"/>
        <w:tabs>
          <w:tab w:val="right" w:leader="dot" w:pos="9629"/>
        </w:tabs>
        <w:rPr>
          <w:noProof/>
        </w:rPr>
      </w:pPr>
      <w:hyperlink w:anchor="_Toc226643058" w:history="1">
        <w:r w:rsidR="00652EBF">
          <w:rPr>
            <w:rStyle w:val="a4"/>
            <w:noProof/>
          </w:rPr>
          <w:t>ГЛАВ</w:t>
        </w:r>
        <w:r w:rsidR="00652EBF">
          <w:rPr>
            <w:rStyle w:val="a4"/>
            <w:noProof/>
            <w:lang w:val="ru-RU"/>
          </w:rPr>
          <w:t>А 3.</w:t>
        </w:r>
        <w:r w:rsidR="00652EBF" w:rsidRPr="003349E1">
          <w:rPr>
            <w:rStyle w:val="a4"/>
            <w:noProof/>
          </w:rPr>
          <w:t xml:space="preserve"> ДЕЙСТВУЮЩАЯ ПРАВОВАЯ БАЗА И ПРАВОПРИМЕНИТЕЛЬНАЯ ПРАКТИКА В РФ (2 СТР.)</w:t>
        </w:r>
        <w:r w:rsidR="00652EBF">
          <w:rPr>
            <w:noProof/>
            <w:webHidden/>
          </w:rPr>
          <w:tab/>
        </w:r>
        <w:r w:rsidR="00652EBF">
          <w:rPr>
            <w:noProof/>
            <w:webHidden/>
          </w:rPr>
          <w:fldChar w:fldCharType="begin"/>
        </w:r>
        <w:r w:rsidR="00652EBF">
          <w:rPr>
            <w:noProof/>
            <w:webHidden/>
          </w:rPr>
          <w:instrText xml:space="preserve"> PAGEREF _Toc226643058 \h </w:instrText>
        </w:r>
        <w:r w:rsidR="00652EBF">
          <w:rPr>
            <w:noProof/>
            <w:webHidden/>
          </w:rPr>
        </w:r>
        <w:r w:rsidR="00652EBF">
          <w:rPr>
            <w:noProof/>
            <w:webHidden/>
          </w:rPr>
          <w:fldChar w:fldCharType="separate"/>
        </w:r>
        <w:r w:rsidR="00652EBF">
          <w:rPr>
            <w:noProof/>
            <w:webHidden/>
          </w:rPr>
          <w:t>18</w:t>
        </w:r>
        <w:r w:rsidR="00652EBF">
          <w:rPr>
            <w:noProof/>
            <w:webHidden/>
          </w:rPr>
          <w:fldChar w:fldCharType="end"/>
        </w:r>
      </w:hyperlink>
    </w:p>
    <w:p w:rsidR="00652EBF" w:rsidRDefault="00DA5DBA">
      <w:pPr>
        <w:pStyle w:val="20"/>
        <w:tabs>
          <w:tab w:val="right" w:leader="dot" w:pos="9629"/>
        </w:tabs>
        <w:rPr>
          <w:noProof/>
        </w:rPr>
      </w:pPr>
      <w:hyperlink w:anchor="_Toc226643059" w:history="1">
        <w:r w:rsidR="00652EBF">
          <w:rPr>
            <w:rStyle w:val="a4"/>
            <w:noProof/>
          </w:rPr>
          <w:t xml:space="preserve">3.1. </w:t>
        </w:r>
        <w:r w:rsidR="00652EBF" w:rsidRPr="003349E1">
          <w:rPr>
            <w:rStyle w:val="a4"/>
            <w:noProof/>
          </w:rPr>
          <w:t>Уголовно правовые нормы</w:t>
        </w:r>
        <w:r w:rsidR="00652EBF">
          <w:rPr>
            <w:noProof/>
            <w:webHidden/>
          </w:rPr>
          <w:tab/>
        </w:r>
        <w:r w:rsidR="00652EBF">
          <w:rPr>
            <w:noProof/>
            <w:webHidden/>
          </w:rPr>
          <w:fldChar w:fldCharType="begin"/>
        </w:r>
        <w:r w:rsidR="00652EBF">
          <w:rPr>
            <w:noProof/>
            <w:webHidden/>
          </w:rPr>
          <w:instrText xml:space="preserve"> PAGEREF _Toc226643059 \h </w:instrText>
        </w:r>
        <w:r w:rsidR="00652EBF">
          <w:rPr>
            <w:noProof/>
            <w:webHidden/>
          </w:rPr>
        </w:r>
        <w:r w:rsidR="00652EBF">
          <w:rPr>
            <w:noProof/>
            <w:webHidden/>
          </w:rPr>
          <w:fldChar w:fldCharType="separate"/>
        </w:r>
        <w:r w:rsidR="00652EBF">
          <w:rPr>
            <w:noProof/>
            <w:webHidden/>
          </w:rPr>
          <w:t>18</w:t>
        </w:r>
        <w:r w:rsidR="00652EBF">
          <w:rPr>
            <w:noProof/>
            <w:webHidden/>
          </w:rPr>
          <w:fldChar w:fldCharType="end"/>
        </w:r>
      </w:hyperlink>
    </w:p>
    <w:p w:rsidR="00652EBF" w:rsidRDefault="00DA5DBA">
      <w:pPr>
        <w:pStyle w:val="20"/>
        <w:tabs>
          <w:tab w:val="right" w:leader="dot" w:pos="9629"/>
        </w:tabs>
        <w:rPr>
          <w:noProof/>
        </w:rPr>
      </w:pPr>
      <w:hyperlink w:anchor="_Toc226643060" w:history="1">
        <w:r w:rsidR="00652EBF">
          <w:rPr>
            <w:rStyle w:val="a4"/>
            <w:noProof/>
          </w:rPr>
          <w:t xml:space="preserve">3.2. </w:t>
        </w:r>
        <w:r w:rsidR="00652EBF" w:rsidRPr="003349E1">
          <w:rPr>
            <w:rStyle w:val="a4"/>
            <w:noProof/>
          </w:rPr>
          <w:t>Регулирование ИИ и данных</w:t>
        </w:r>
        <w:r w:rsidR="00652EBF">
          <w:rPr>
            <w:noProof/>
            <w:webHidden/>
          </w:rPr>
          <w:tab/>
        </w:r>
        <w:r w:rsidR="00652EBF">
          <w:rPr>
            <w:noProof/>
            <w:webHidden/>
          </w:rPr>
          <w:fldChar w:fldCharType="begin"/>
        </w:r>
        <w:r w:rsidR="00652EBF">
          <w:rPr>
            <w:noProof/>
            <w:webHidden/>
          </w:rPr>
          <w:instrText xml:space="preserve"> PAGEREF _Toc226643060 \h </w:instrText>
        </w:r>
        <w:r w:rsidR="00652EBF">
          <w:rPr>
            <w:noProof/>
            <w:webHidden/>
          </w:rPr>
        </w:r>
        <w:r w:rsidR="00652EBF">
          <w:rPr>
            <w:noProof/>
            <w:webHidden/>
          </w:rPr>
          <w:fldChar w:fldCharType="separate"/>
        </w:r>
        <w:r w:rsidR="00652EBF">
          <w:rPr>
            <w:noProof/>
            <w:webHidden/>
          </w:rPr>
          <w:t>19</w:t>
        </w:r>
        <w:r w:rsidR="00652EBF">
          <w:rPr>
            <w:noProof/>
            <w:webHidden/>
          </w:rPr>
          <w:fldChar w:fldCharType="end"/>
        </w:r>
      </w:hyperlink>
    </w:p>
    <w:p w:rsidR="00652EBF" w:rsidRDefault="00DA5DBA">
      <w:pPr>
        <w:pStyle w:val="10"/>
        <w:tabs>
          <w:tab w:val="right" w:leader="dot" w:pos="9629"/>
        </w:tabs>
        <w:rPr>
          <w:noProof/>
        </w:rPr>
      </w:pPr>
      <w:hyperlink w:anchor="_Toc226643061" w:history="1">
        <w:r w:rsidR="00652EBF" w:rsidRPr="003349E1">
          <w:rPr>
            <w:rStyle w:val="a4"/>
            <w:noProof/>
          </w:rPr>
          <w:t>ГЛАВА 4</w:t>
        </w:r>
        <w:r w:rsidR="00652EBF">
          <w:rPr>
            <w:rStyle w:val="a4"/>
            <w:noProof/>
            <w:lang w:val="ru-RU"/>
          </w:rPr>
          <w:t>.</w:t>
        </w:r>
        <w:r w:rsidR="00652EBF" w:rsidRPr="003349E1">
          <w:rPr>
            <w:rStyle w:val="a4"/>
            <w:noProof/>
          </w:rPr>
          <w:t xml:space="preserve"> РЕКОМЕНДАЦИИ И МЕЖВЕДОМСТВЕННОЕ ВЗАИМОДЕЙСТВИЕ</w:t>
        </w:r>
        <w:r w:rsidR="00652EBF">
          <w:rPr>
            <w:noProof/>
            <w:webHidden/>
          </w:rPr>
          <w:tab/>
        </w:r>
        <w:r w:rsidR="00652EBF">
          <w:rPr>
            <w:noProof/>
            <w:webHidden/>
          </w:rPr>
          <w:fldChar w:fldCharType="begin"/>
        </w:r>
        <w:r w:rsidR="00652EBF">
          <w:rPr>
            <w:noProof/>
            <w:webHidden/>
          </w:rPr>
          <w:instrText xml:space="preserve"> PAGEREF _Toc226643061 \h </w:instrText>
        </w:r>
        <w:r w:rsidR="00652EBF">
          <w:rPr>
            <w:noProof/>
            <w:webHidden/>
          </w:rPr>
        </w:r>
        <w:r w:rsidR="00652EBF">
          <w:rPr>
            <w:noProof/>
            <w:webHidden/>
          </w:rPr>
          <w:fldChar w:fldCharType="separate"/>
        </w:r>
        <w:r w:rsidR="00652EBF">
          <w:rPr>
            <w:noProof/>
            <w:webHidden/>
          </w:rPr>
          <w:t>21</w:t>
        </w:r>
        <w:r w:rsidR="00652EBF">
          <w:rPr>
            <w:noProof/>
            <w:webHidden/>
          </w:rPr>
          <w:fldChar w:fldCharType="end"/>
        </w:r>
      </w:hyperlink>
    </w:p>
    <w:p w:rsidR="00652EBF" w:rsidRDefault="00DA5DBA">
      <w:pPr>
        <w:pStyle w:val="20"/>
        <w:tabs>
          <w:tab w:val="right" w:leader="dot" w:pos="9629"/>
        </w:tabs>
        <w:rPr>
          <w:noProof/>
        </w:rPr>
      </w:pPr>
      <w:hyperlink w:anchor="_Toc226643062" w:history="1">
        <w:r w:rsidR="00652EBF" w:rsidRPr="003349E1">
          <w:rPr>
            <w:rStyle w:val="a4"/>
            <w:noProof/>
          </w:rPr>
          <w:t>4.1. Предложения по совершенствованию законодательства: введение специализированных норм</w:t>
        </w:r>
        <w:r w:rsidR="00652EBF">
          <w:rPr>
            <w:noProof/>
            <w:webHidden/>
          </w:rPr>
          <w:tab/>
        </w:r>
        <w:r w:rsidR="00652EBF">
          <w:rPr>
            <w:noProof/>
            <w:webHidden/>
          </w:rPr>
          <w:fldChar w:fldCharType="begin"/>
        </w:r>
        <w:r w:rsidR="00652EBF">
          <w:rPr>
            <w:noProof/>
            <w:webHidden/>
          </w:rPr>
          <w:instrText xml:space="preserve"> PAGEREF _Toc226643062 \h </w:instrText>
        </w:r>
        <w:r w:rsidR="00652EBF">
          <w:rPr>
            <w:noProof/>
            <w:webHidden/>
          </w:rPr>
        </w:r>
        <w:r w:rsidR="00652EBF">
          <w:rPr>
            <w:noProof/>
            <w:webHidden/>
          </w:rPr>
          <w:fldChar w:fldCharType="separate"/>
        </w:r>
        <w:r w:rsidR="00652EBF">
          <w:rPr>
            <w:noProof/>
            <w:webHidden/>
          </w:rPr>
          <w:t>21</w:t>
        </w:r>
        <w:r w:rsidR="00652EBF">
          <w:rPr>
            <w:noProof/>
            <w:webHidden/>
          </w:rPr>
          <w:fldChar w:fldCharType="end"/>
        </w:r>
      </w:hyperlink>
    </w:p>
    <w:p w:rsidR="00652EBF" w:rsidRDefault="00DA5DBA">
      <w:pPr>
        <w:pStyle w:val="20"/>
        <w:tabs>
          <w:tab w:val="right" w:leader="dot" w:pos="9629"/>
        </w:tabs>
        <w:rPr>
          <w:noProof/>
        </w:rPr>
      </w:pPr>
      <w:hyperlink w:anchor="_Toc226643063" w:history="1">
        <w:r w:rsidR="00652EBF" w:rsidRPr="003349E1">
          <w:rPr>
            <w:rStyle w:val="a4"/>
            <w:noProof/>
          </w:rPr>
          <w:t>4.2. Разработка новых инструментов мониторинга и предотвращения ИИ-мошенничества</w:t>
        </w:r>
        <w:r w:rsidR="00652EBF">
          <w:rPr>
            <w:noProof/>
            <w:webHidden/>
          </w:rPr>
          <w:tab/>
        </w:r>
        <w:r w:rsidR="00652EBF">
          <w:rPr>
            <w:noProof/>
            <w:webHidden/>
          </w:rPr>
          <w:fldChar w:fldCharType="begin"/>
        </w:r>
        <w:r w:rsidR="00652EBF">
          <w:rPr>
            <w:noProof/>
            <w:webHidden/>
          </w:rPr>
          <w:instrText xml:space="preserve"> PAGEREF _Toc226643063 \h </w:instrText>
        </w:r>
        <w:r w:rsidR="00652EBF">
          <w:rPr>
            <w:noProof/>
            <w:webHidden/>
          </w:rPr>
        </w:r>
        <w:r w:rsidR="00652EBF">
          <w:rPr>
            <w:noProof/>
            <w:webHidden/>
          </w:rPr>
          <w:fldChar w:fldCharType="separate"/>
        </w:r>
        <w:r w:rsidR="00652EBF">
          <w:rPr>
            <w:noProof/>
            <w:webHidden/>
          </w:rPr>
          <w:t>22</w:t>
        </w:r>
        <w:r w:rsidR="00652EBF">
          <w:rPr>
            <w:noProof/>
            <w:webHidden/>
          </w:rPr>
          <w:fldChar w:fldCharType="end"/>
        </w:r>
      </w:hyperlink>
    </w:p>
    <w:p w:rsidR="00652EBF" w:rsidRDefault="00DA5DBA">
      <w:pPr>
        <w:pStyle w:val="20"/>
        <w:tabs>
          <w:tab w:val="right" w:leader="dot" w:pos="9629"/>
        </w:tabs>
        <w:rPr>
          <w:noProof/>
        </w:rPr>
      </w:pPr>
      <w:hyperlink w:anchor="_Toc226643064" w:history="1">
        <w:r w:rsidR="00652EBF" w:rsidRPr="003349E1">
          <w:rPr>
            <w:rStyle w:val="a4"/>
            <w:noProof/>
          </w:rPr>
          <w:t>4.3. Модель межведомственного взаимодействия для оперативного реагирования на инциденты</w:t>
        </w:r>
        <w:r w:rsidR="00652EBF">
          <w:rPr>
            <w:noProof/>
            <w:webHidden/>
          </w:rPr>
          <w:tab/>
        </w:r>
        <w:r w:rsidR="00652EBF">
          <w:rPr>
            <w:noProof/>
            <w:webHidden/>
          </w:rPr>
          <w:fldChar w:fldCharType="begin"/>
        </w:r>
        <w:r w:rsidR="00652EBF">
          <w:rPr>
            <w:noProof/>
            <w:webHidden/>
          </w:rPr>
          <w:instrText xml:space="preserve"> PAGEREF _Toc226643064 \h </w:instrText>
        </w:r>
        <w:r w:rsidR="00652EBF">
          <w:rPr>
            <w:noProof/>
            <w:webHidden/>
          </w:rPr>
        </w:r>
        <w:r w:rsidR="00652EBF">
          <w:rPr>
            <w:noProof/>
            <w:webHidden/>
          </w:rPr>
          <w:fldChar w:fldCharType="separate"/>
        </w:r>
        <w:r w:rsidR="00652EBF">
          <w:rPr>
            <w:noProof/>
            <w:webHidden/>
          </w:rPr>
          <w:t>22</w:t>
        </w:r>
        <w:r w:rsidR="00652EBF">
          <w:rPr>
            <w:noProof/>
            <w:webHidden/>
          </w:rPr>
          <w:fldChar w:fldCharType="end"/>
        </w:r>
      </w:hyperlink>
    </w:p>
    <w:p w:rsidR="00652EBF" w:rsidRDefault="00DA5DBA">
      <w:pPr>
        <w:pStyle w:val="10"/>
        <w:tabs>
          <w:tab w:val="right" w:leader="dot" w:pos="9629"/>
        </w:tabs>
        <w:rPr>
          <w:noProof/>
        </w:rPr>
      </w:pPr>
      <w:hyperlink w:anchor="_Toc226643065" w:history="1">
        <w:r w:rsidR="00652EBF" w:rsidRPr="003349E1">
          <w:rPr>
            <w:rStyle w:val="a4"/>
            <w:noProof/>
          </w:rPr>
          <w:t>ЗАКЛЮЧЕНИЕ</w:t>
        </w:r>
        <w:r w:rsidR="00652EBF">
          <w:rPr>
            <w:noProof/>
            <w:webHidden/>
          </w:rPr>
          <w:tab/>
        </w:r>
        <w:r w:rsidR="00652EBF">
          <w:rPr>
            <w:noProof/>
            <w:webHidden/>
          </w:rPr>
          <w:fldChar w:fldCharType="begin"/>
        </w:r>
        <w:r w:rsidR="00652EBF">
          <w:rPr>
            <w:noProof/>
            <w:webHidden/>
          </w:rPr>
          <w:instrText xml:space="preserve"> PAGEREF _Toc226643065 \h </w:instrText>
        </w:r>
        <w:r w:rsidR="00652EBF">
          <w:rPr>
            <w:noProof/>
            <w:webHidden/>
          </w:rPr>
        </w:r>
        <w:r w:rsidR="00652EBF">
          <w:rPr>
            <w:noProof/>
            <w:webHidden/>
          </w:rPr>
          <w:fldChar w:fldCharType="separate"/>
        </w:r>
        <w:r w:rsidR="00652EBF">
          <w:rPr>
            <w:noProof/>
            <w:webHidden/>
          </w:rPr>
          <w:t>2</w:t>
        </w:r>
        <w:r w:rsidR="00652EBF">
          <w:rPr>
            <w:noProof/>
            <w:webHidden/>
            <w:lang w:val="ru-RU"/>
          </w:rPr>
          <w:t>3</w:t>
        </w:r>
        <w:r w:rsidR="00652EBF">
          <w:rPr>
            <w:noProof/>
            <w:webHidden/>
          </w:rPr>
          <w:fldChar w:fldCharType="end"/>
        </w:r>
      </w:hyperlink>
    </w:p>
    <w:p w:rsidR="00652EBF" w:rsidRDefault="00DA5DBA">
      <w:pPr>
        <w:pStyle w:val="10"/>
        <w:tabs>
          <w:tab w:val="right" w:leader="dot" w:pos="9629"/>
        </w:tabs>
        <w:rPr>
          <w:noProof/>
        </w:rPr>
      </w:pPr>
      <w:hyperlink w:anchor="_Toc226643066" w:history="1">
        <w:r w:rsidR="00652EBF" w:rsidRPr="003349E1">
          <w:rPr>
            <w:rStyle w:val="a4"/>
            <w:noProof/>
          </w:rPr>
          <w:t>СПИСОК ЛИТЕРАТУРЫ</w:t>
        </w:r>
        <w:r w:rsidR="00652EBF">
          <w:rPr>
            <w:noProof/>
            <w:webHidden/>
          </w:rPr>
          <w:tab/>
        </w:r>
        <w:r w:rsidR="00652EBF">
          <w:rPr>
            <w:noProof/>
            <w:webHidden/>
          </w:rPr>
          <w:fldChar w:fldCharType="begin"/>
        </w:r>
        <w:r w:rsidR="00652EBF">
          <w:rPr>
            <w:noProof/>
            <w:webHidden/>
          </w:rPr>
          <w:instrText xml:space="preserve"> PAGEREF _Toc226643066 \h </w:instrText>
        </w:r>
        <w:r w:rsidR="00652EBF">
          <w:rPr>
            <w:noProof/>
            <w:webHidden/>
          </w:rPr>
        </w:r>
        <w:r w:rsidR="00652EBF">
          <w:rPr>
            <w:noProof/>
            <w:webHidden/>
          </w:rPr>
          <w:fldChar w:fldCharType="separate"/>
        </w:r>
        <w:r w:rsidR="00652EBF">
          <w:rPr>
            <w:noProof/>
            <w:webHidden/>
          </w:rPr>
          <w:t>2</w:t>
        </w:r>
        <w:r w:rsidR="00652EBF">
          <w:rPr>
            <w:noProof/>
            <w:webHidden/>
            <w:lang w:val="ru-RU"/>
          </w:rPr>
          <w:t>4</w:t>
        </w:r>
        <w:r w:rsidR="00652EBF">
          <w:rPr>
            <w:noProof/>
            <w:webHidden/>
          </w:rPr>
          <w:fldChar w:fldCharType="end"/>
        </w:r>
      </w:hyperlink>
    </w:p>
    <w:p w:rsidR="00057329" w:rsidRDefault="00690B28">
      <w:r>
        <w:fldChar w:fldCharType="end"/>
      </w:r>
    </w:p>
    <w:p w:rsidR="00057329" w:rsidRDefault="00057329">
      <w:pPr>
        <w:sectPr w:rsidR="00057329">
          <w:pgSz w:w="11905" w:h="16837"/>
          <w:pgMar w:top="1133" w:right="566" w:bottom="1133" w:left="1700" w:header="720" w:footer="720" w:gutter="0"/>
          <w:cols w:space="720"/>
        </w:sectPr>
      </w:pPr>
    </w:p>
    <w:p w:rsidR="00057329" w:rsidRPr="00652EBF" w:rsidRDefault="00690B28">
      <w:pPr>
        <w:pStyle w:val="1"/>
        <w:rPr>
          <w:lang w:val="ru-RU"/>
        </w:rPr>
      </w:pPr>
      <w:bookmarkStart w:id="1" w:name="_Toc226643049"/>
      <w:r w:rsidRPr="00652EBF">
        <w:rPr>
          <w:lang w:val="ru-RU"/>
        </w:rPr>
        <w:lastRenderedPageBreak/>
        <w:t>ВВЕДЕНИЕ</w:t>
      </w:r>
      <w:bookmarkEnd w:id="1"/>
    </w:p>
    <w:p w:rsidR="00057329" w:rsidRPr="00652EBF" w:rsidRDefault="00690B28">
      <w:pPr>
        <w:rPr>
          <w:lang w:val="ru-RU"/>
        </w:rPr>
      </w:pPr>
      <w:r w:rsidRPr="00652EBF">
        <w:rPr>
          <w:lang w:val="ru-RU"/>
        </w:rPr>
        <w:t>Стремительное развитие технологий искусственного интеллекта в последние годы кардинально трансформировало инструментарий мошеннической деятельности, породив принципиально новые формы цифрового обмана. Генерация синтетических медиа (дипфейков), имитирующих голосовые и визуальные характеристики реальных лиц, а также автоматизированные системы социальной инженерии создают беспрецедентные вызовы для систем безопасности. Эти технологии позволяют злоумышленникам осуществлять масштабные атаки на доверие в цифровой среде, подрывая основы социальных и экономических взаимодействий. Распространение ИИ-мошенничества приобретает системный характер: от целевых фишинговых атак с использованием нейросетевых алгоритмов до создания полностью автоматизированных мошеннических платформ. Особую опасность представляет коммерциализация сервисов по генерации поддельного контента, делающая эти технологии доступными даже для непрофессиональных злоумышленников. Подобные тенденции требуют переосмысления традиционных подходов к кибербезопасности и правовой защите в условиях технологического разрыва между преступными инновациями и механизмами противодействия.</w:t>
      </w:r>
    </w:p>
    <w:p w:rsidR="00057329" w:rsidRPr="00652EBF" w:rsidRDefault="00690B28">
      <w:pPr>
        <w:rPr>
          <w:lang w:val="ru-RU"/>
        </w:rPr>
      </w:pPr>
      <w:r w:rsidRPr="00652EBF">
        <w:rPr>
          <w:lang w:val="ru-RU"/>
        </w:rPr>
        <w:t xml:space="preserve">Действующие правовые системы демонстрируют системную неготовность к адекватному реагированию на вызовы ИИ-мошенничества, поскольку сформировались в эпоху доминирования «традиционных» форм преступной деятельности. Нормы уголовного права, ориентированные на установление умысла и идентификацию конкретного субъекта преступления, оказываются малоэффективными при расследовании схем с использованием автономных ИИ-алгоритмов. Проблему усугубляет распределённый характер таких преступлений, часто осуществляемых через цепочки анонимных цифровых посредников. Ключевым правовым пробелом остаётся отсутствие чётких критериев квалификации действий, совершаемых с применением генеративных </w:t>
      </w:r>
      <w:r w:rsidRPr="00652EBF">
        <w:rPr>
          <w:lang w:val="ru-RU"/>
        </w:rPr>
        <w:lastRenderedPageBreak/>
        <w:t>ИИ-систем, особенно в случаях, когда злоумышленник использует легальные платформы для создания вредоносного контента. Неопределённость в разграничении ответственности между разработчиками алгоритмов, операторами платформ и конечными пользователями создаёт дополнительные сложности для правоприменительной практики, требуя разработки специализированных юридических конструкций.</w:t>
      </w:r>
    </w:p>
    <w:p w:rsidR="00057329" w:rsidRPr="00652EBF" w:rsidRDefault="00690B28">
      <w:pPr>
        <w:rPr>
          <w:lang w:val="ru-RU"/>
        </w:rPr>
      </w:pPr>
      <w:r w:rsidRPr="00652EBF">
        <w:rPr>
          <w:lang w:val="ru-RU"/>
        </w:rPr>
        <w:t xml:space="preserve">Актуальность исследования подтверждается экспоненциальным ростом случаев ИИ-мошенничества, который, по данным </w:t>
      </w:r>
      <w:r>
        <w:t>Europol</w:t>
      </w:r>
      <w:r w:rsidRPr="00652EBF">
        <w:rPr>
          <w:lang w:val="ru-RU"/>
        </w:rPr>
        <w:t xml:space="preserve"> и </w:t>
      </w:r>
      <w:r>
        <w:t>FINRA</w:t>
      </w:r>
      <w:r w:rsidRPr="00652EBF">
        <w:rPr>
          <w:lang w:val="ru-RU"/>
        </w:rPr>
        <w:t>, составил 30-50% в 2023 году. Такая динамика создаёт системные риски для финансовой стабильности, защиты персональных данных и социального доверия, особенно в свете участившихся атак на критическую инфраструктуру. Отсутствие оперативных мер противодействия может привести к эрозии цифрового суверенитета государств и дестабилизации экономических систем.</w:t>
      </w:r>
    </w:p>
    <w:p w:rsidR="00057329" w:rsidRPr="00652EBF" w:rsidRDefault="00690B28">
      <w:pPr>
        <w:rPr>
          <w:lang w:val="ru-RU"/>
        </w:rPr>
      </w:pPr>
      <w:r w:rsidRPr="00652EBF">
        <w:rPr>
          <w:lang w:val="ru-RU"/>
        </w:rPr>
        <w:t>Необходимость настоящего исследования обусловлена потребностью в преодолении фрагментарности правовых подходов к ИИ-мошенничеству через интеграцию криминологического, уголовно-правового и международно-правового знания. Синтез этих дисциплинарных перспектив позволяет разработать адаптивные регуляторные модели, учитывающие как технологическую специфику новых форм преступности, так и требования правовой определённости и пропорциональности.</w:t>
      </w:r>
    </w:p>
    <w:p w:rsidR="00057329" w:rsidRPr="00652EBF" w:rsidRDefault="00690B28">
      <w:pPr>
        <w:rPr>
          <w:lang w:val="ru-RU"/>
        </w:rPr>
      </w:pPr>
      <w:r w:rsidRPr="00652EBF">
        <w:rPr>
          <w:lang w:val="ru-RU"/>
        </w:rPr>
        <w:t>Целью работы является выявление системных правовых вызовов, порождаемых мошенничеством с использованием ИИ, и разработка комплексных механизмов правового регулирования. Особое внимание уделяется адаптации предлагаемых решений к особенностям национальных правовых систем без нарушения баланса между инновационным развитием и защитой публичных интересов.</w:t>
      </w:r>
    </w:p>
    <w:p w:rsidR="00057329" w:rsidRPr="00652EBF" w:rsidRDefault="00690B28">
      <w:pPr>
        <w:rPr>
          <w:lang w:val="ru-RU"/>
        </w:rPr>
      </w:pPr>
      <w:r w:rsidRPr="00652EBF">
        <w:rPr>
          <w:lang w:val="ru-RU"/>
        </w:rPr>
        <w:t xml:space="preserve">Достижение поставленной цели реализуется через последовательное решение пяти ключевых задач: от классификации видов ИИ-мошенничества и анализа международного опыта до оценки эффективности существующих механизмов </w:t>
      </w:r>
      <w:r w:rsidRPr="00652EBF">
        <w:rPr>
          <w:lang w:val="ru-RU"/>
        </w:rPr>
        <w:lastRenderedPageBreak/>
        <w:t>противодействия и разработки рекомендаций по совершенствованию законодательства. Каждый этап исследования направлен на формирование многоуровневой системы правовой защиты.</w:t>
      </w:r>
    </w:p>
    <w:p w:rsidR="00057329" w:rsidRPr="00652EBF" w:rsidRDefault="00690B28">
      <w:pPr>
        <w:rPr>
          <w:lang w:val="ru-RU"/>
        </w:rPr>
      </w:pPr>
      <w:r w:rsidRPr="00652EBF">
        <w:rPr>
          <w:lang w:val="ru-RU"/>
        </w:rPr>
        <w:t>Научная новизна статьи заключается в разработке модели межведомственного взаимодействия для оперативного реагирования на ИИ-мошенничество, сочетающей специализированные нормы материального права, превентивные инструменты мониторинга и международную гармонизацию процессуальных стандартов. Предлагаемый подход позволяет преодолеть ведомственную разобщённость и создать единый контур управления рисками в условиях цифровой трансформации.</w:t>
      </w:r>
    </w:p>
    <w:p w:rsidR="00057329" w:rsidRPr="00652EBF" w:rsidRDefault="00690B28">
      <w:pPr>
        <w:rPr>
          <w:lang w:val="ru-RU"/>
        </w:rPr>
      </w:pPr>
      <w:r w:rsidRPr="00652EBF">
        <w:rPr>
          <w:lang w:val="ru-RU"/>
        </w:rPr>
        <w:br w:type="page"/>
      </w:r>
    </w:p>
    <w:p w:rsidR="00057329" w:rsidRPr="00652EBF" w:rsidRDefault="00690B28">
      <w:pPr>
        <w:pStyle w:val="1"/>
        <w:rPr>
          <w:lang w:val="ru-RU"/>
        </w:rPr>
      </w:pPr>
      <w:bookmarkStart w:id="2" w:name="_Toc226643050"/>
      <w:r w:rsidRPr="00652EBF">
        <w:rPr>
          <w:lang w:val="ru-RU"/>
        </w:rPr>
        <w:lastRenderedPageBreak/>
        <w:t>ГЛАВА 1 КЛАССИФИКАЦИЯ ИИ-МОШЕННИЧЕСТВА И ПРАВОВЫЕ ПРОБЕЛЫ</w:t>
      </w:r>
      <w:bookmarkEnd w:id="2"/>
    </w:p>
    <w:p w:rsidR="00057329" w:rsidRPr="00652EBF" w:rsidRDefault="00690B28">
      <w:pPr>
        <w:pStyle w:val="2"/>
        <w:rPr>
          <w:lang w:val="ru-RU"/>
        </w:rPr>
      </w:pPr>
      <w:bookmarkStart w:id="3" w:name="_Toc226643051"/>
      <w:r w:rsidRPr="00652EBF">
        <w:rPr>
          <w:lang w:val="ru-RU"/>
        </w:rPr>
        <w:t>1.1. Эволюция мошенничества: от традиционных схем к ИИ-технологиям</w:t>
      </w:r>
      <w:bookmarkEnd w:id="3"/>
    </w:p>
    <w:p w:rsidR="00057329" w:rsidRPr="00652EBF" w:rsidRDefault="00690B28">
      <w:pPr>
        <w:rPr>
          <w:lang w:val="ru-RU"/>
        </w:rPr>
      </w:pPr>
      <w:r w:rsidRPr="00652EBF">
        <w:rPr>
          <w:lang w:val="ru-RU"/>
        </w:rPr>
        <w:t xml:space="preserve">Исторически мошеннические схемы основывались на ручных методах обмана, таких как подделка документов или манипуляции с наличными средствами. С развитием компьютерных технологий произошёл переход к автоматизированным системам, использующим базовые алгоритмы для совершения противоправных действий. «Проблема использования компьютерных технологий при посягательствах на охраняемые уголовным законом общественные отношения становится объектом научных исследований с момента совершения первого такого посягательства (Примечание 1. Первое преступление с использованием компьютера в СССР было зарегистрировано в 1979 г. в Вильнюсе. Ущерб государству от хищения составил 78,5 тыс. рублей. Случай был занесен в международный реестр правонарушений подобного рода и явился своего рода отправной точкой в развитии нового вида преступлений в нашей стране) [7, </w:t>
      </w:r>
      <w:r>
        <w:t>c</w:t>
      </w:r>
      <w:r w:rsidRPr="00652EBF">
        <w:rPr>
          <w:lang w:val="ru-RU"/>
        </w:rPr>
        <w:t>.90]». Этот эпизод обозначил начало эры технологически усложнённых преступлений.</w:t>
      </w:r>
    </w:p>
    <w:p w:rsidR="00057329" w:rsidRPr="00652EBF" w:rsidRDefault="00690B28">
      <w:pPr>
        <w:rPr>
          <w:lang w:val="ru-RU"/>
        </w:rPr>
      </w:pPr>
      <w:r w:rsidRPr="00652EBF">
        <w:rPr>
          <w:lang w:val="ru-RU"/>
        </w:rPr>
        <w:t xml:space="preserve">С внедрением машинного обучения произошёл качественный скачок в сложности мошеннических операций. Генеративные модели позволили создавать синтетические данные и контент, неотличимый от реального. Это открыло новые возможности для масштабных атак, таких как автоматизированный фишинг и генерация фальшивых идентификационных документов. Технологии искусственного интеллекта стали инструментом для преодоления традиционных защитных механизмов. Масштабы мошенничества расширились благодаря способности ИИ-систем обрабатывать большие объёмы данных и адаптироваться к защитным мерам. Алгоритмы машинного обучения позволяют автоматизировать подбор уязвимостей в системах безопасности. Одновременно снизились временные и ресурсные затраты на организацию преступных схем. Это привело к увеличению частоты и географического охвата </w:t>
      </w:r>
      <w:r w:rsidRPr="00652EBF">
        <w:rPr>
          <w:lang w:val="ru-RU"/>
        </w:rPr>
        <w:lastRenderedPageBreak/>
        <w:t>мошеннических операций. Современные генеративные модели создают дополнительные сложности для правовых систем. Скорость эволюции ИИ-технологий опережает адаптацию законодательных норм. Динамичный характер угроз требует постоянного пересмотра критериев квалификации преступлений. Уникальные характеристики ИИ-мошенничества ставят под сомнение адекватность традиционных правовых конструкций.</w:t>
      </w:r>
    </w:p>
    <w:p w:rsidR="00057329" w:rsidRPr="00652EBF" w:rsidRDefault="00690B28">
      <w:pPr>
        <w:pStyle w:val="2"/>
        <w:rPr>
          <w:lang w:val="ru-RU"/>
        </w:rPr>
      </w:pPr>
      <w:bookmarkStart w:id="4" w:name="_Toc226643052"/>
      <w:r w:rsidRPr="00652EBF">
        <w:rPr>
          <w:lang w:val="ru-RU"/>
        </w:rPr>
        <w:t>1.2. Основные виды мошенничества с использованием ИИ: дипфейки, фишинг, генерация персональных данных</w:t>
      </w:r>
      <w:bookmarkEnd w:id="4"/>
    </w:p>
    <w:p w:rsidR="00057329" w:rsidRPr="00652EBF" w:rsidRDefault="00690B28">
      <w:pPr>
        <w:rPr>
          <w:lang w:val="ru-RU"/>
        </w:rPr>
      </w:pPr>
      <w:r w:rsidRPr="00652EBF">
        <w:rPr>
          <w:lang w:val="ru-RU"/>
        </w:rPr>
        <w:t>Технология дипфейков, основанная на генеративно-состязательных сетях (</w:t>
      </w:r>
      <w:r>
        <w:t>GAN</w:t>
      </w:r>
      <w:r w:rsidRPr="00652EBF">
        <w:rPr>
          <w:lang w:val="ru-RU"/>
        </w:rPr>
        <w:t>), позволяет создавать поддельные аудиовизуальные материалы высокой степени реалистичности. Методы синтеза включают замену лица в видео, клонирование голоса и генерацию полностью искусственного контента. Данная технология активно используется для компрометации публичных лиц путём создания компрометирующих материалов, а также для распространения дезинформации в политической и финансовой сферах. Сложность верификации такого контента создаёт значительные риски для репутационной безопасности и общественного порядка.</w:t>
      </w:r>
    </w:p>
    <w:p w:rsidR="00057329" w:rsidRPr="00652EBF" w:rsidRDefault="00690B28">
      <w:pPr>
        <w:rPr>
          <w:lang w:val="ru-RU"/>
        </w:rPr>
      </w:pPr>
      <w:r w:rsidRPr="00652EBF">
        <w:rPr>
          <w:lang w:val="ru-RU"/>
        </w:rPr>
        <w:t>ИИ-фишинг представляет собой качественно новый уровень социальной инженерии за счёт адаптивных сценариев взаимодействия с жертвами. Алгоритмы машинного обучения анализируют поведенческие паттерны и личные данные пользователей из открытых источников, формируя персонализированные сообщения. Такая персонализация существенно повышает доверие к мошенническим коммуникациям по сравнению с традиционными фишинговыми рассылками. Автоматизация целевых атак позволяет массово генерировать контекстно-релевантные письма, сообщения в мессенджерах и голосовые вызовы. Нейросетевые модели имитируют стилистику официальной переписки организаций, воспроизводя корпоративные шаблоны и логотипы. Мультиканальный характер атак усложняет их своевременное выявление системами безопасности.</w:t>
      </w:r>
    </w:p>
    <w:p w:rsidR="00057329" w:rsidRPr="00652EBF" w:rsidRDefault="00690B28">
      <w:pPr>
        <w:rPr>
          <w:lang w:val="ru-RU"/>
        </w:rPr>
      </w:pPr>
      <w:r w:rsidRPr="00652EBF">
        <w:rPr>
          <w:lang w:val="ru-RU"/>
        </w:rPr>
        <w:lastRenderedPageBreak/>
        <w:t xml:space="preserve">Генерация синтетических персональных данных осуществляется посредством генеративно-состязательных сетей и языковых моделей. «В 2020 г. была представлена модель </w:t>
      </w:r>
      <w:r>
        <w:t>GPT</w:t>
      </w:r>
      <w:r w:rsidRPr="00652EBF">
        <w:rPr>
          <w:lang w:val="ru-RU"/>
        </w:rPr>
        <w:t xml:space="preserve">-3, которая считается наиболее продвинутой и масштабируемой версией. </w:t>
      </w:r>
      <w:r>
        <w:t>GPT</w:t>
      </w:r>
      <w:r w:rsidRPr="00652EBF">
        <w:rPr>
          <w:lang w:val="ru-RU"/>
        </w:rPr>
        <w:t xml:space="preserve">-3 является огромной нейронной сетью, содержащей миллиарды параметров, что позволяет ей генерировать тексты с удивительной точностью и стилистической натуральностью. Она имеет широкий спектр приложений, включая автоматическое создание контента, ответы на вопросы, перевод текста, разработку диалоговых систем и многое другое [11, </w:t>
      </w:r>
      <w:r>
        <w:t>c</w:t>
      </w:r>
      <w:r w:rsidRPr="00652EBF">
        <w:rPr>
          <w:lang w:val="ru-RU"/>
        </w:rPr>
        <w:t>.23]». Данные технологии позволяют создавать правдоподобные анкетные данные, биометрические шаблоны и поведенческие профили. Синтетические данные используются для обхода систем верификации при регистрации на платформах и в финансовых сервисах. Создание массовых фальшивых аккаунтов с искусственными персональными характеристиками обеспечивает мошенникам доступ к ограниченным ресурсам и услугам. Особую опасность представляют комбинированные атаки, сочетающие синтетические данные с дипфейк-технологиями для многоуровневой аутентификации. Массовые мошеннические операции с использованием сгенерированных данных включают оформление кредитов, проведение транзакций и создание бот-сетей. Масштабируемость таких атак обусловлена возможностью алгоритмов производить тысячи уникальных идентификаторов за короткий период. Это выявляет уязвимости систем, ориентированных на формальные параметры верификации без дополнительных проверок поведенческих факторов.</w:t>
      </w:r>
    </w:p>
    <w:p w:rsidR="00057329" w:rsidRPr="00652EBF" w:rsidRDefault="00690B28">
      <w:pPr>
        <w:pStyle w:val="2"/>
        <w:rPr>
          <w:lang w:val="ru-RU"/>
        </w:rPr>
      </w:pPr>
      <w:bookmarkStart w:id="5" w:name="_Toc226643053"/>
      <w:r w:rsidRPr="00652EBF">
        <w:rPr>
          <w:lang w:val="ru-RU"/>
        </w:rPr>
        <w:t>1.3. Анализ существующих правовых норм и выявление пробелов в законодательстве РФ</w:t>
      </w:r>
      <w:bookmarkEnd w:id="5"/>
    </w:p>
    <w:p w:rsidR="00057329" w:rsidRPr="00652EBF" w:rsidRDefault="00690B28">
      <w:pPr>
        <w:rPr>
          <w:lang w:val="ru-RU"/>
        </w:rPr>
      </w:pPr>
      <w:r w:rsidRPr="00652EBF">
        <w:rPr>
          <w:lang w:val="ru-RU"/>
        </w:rPr>
        <w:t xml:space="preserve">Действующие нормы Уголовного кодекса РФ, включая статью 159 о мошенничестве, не учитывают алгоритмическую природу преступлений с использованием ИИ. Отсутствие специальных критериев квалификации затрудняет правовую оценку действий, совершаемых автономными системами </w:t>
      </w:r>
      <w:r w:rsidRPr="00652EBF">
        <w:rPr>
          <w:lang w:val="ru-RU"/>
        </w:rPr>
        <w:lastRenderedPageBreak/>
        <w:t xml:space="preserve">без прямого участия человека. «Вред, который был причинен искусственным интеллектом, трактуется как невиновный, что влечет за собой отсутствие основания для привлечения к уголовной ответственности» [6, </w:t>
      </w:r>
      <w:r>
        <w:t>c</w:t>
      </w:r>
      <w:r w:rsidRPr="00652EBF">
        <w:rPr>
          <w:lang w:val="ru-RU"/>
        </w:rPr>
        <w:t>.238]. Это создает правовую лакуну, позволяющую злоумышленникам избегать наказания за новые формы противоправной деятельности. Неадаптированность традиционных составов преступлений к динамике ИИ-мошенничества проявляется в невозможности корректной квалификации алгоритмических действий. Отсутствие законодательных дефиниций, раскрывающих понятие «искусственный интеллект» и «автономные системы», осложняет процесс доказывания субъективной стороны преступления. Проблема усугубляется тем, что действующие нормы предусматривают ответственность только за умышленные действия физических лиц, оставляя вне правового поля случаи опосредованного причинения вреда через ИИ-технологии.</w:t>
      </w:r>
    </w:p>
    <w:p w:rsidR="00057329" w:rsidRPr="00652EBF" w:rsidRDefault="00690B28">
      <w:pPr>
        <w:rPr>
          <w:lang w:val="ru-RU"/>
        </w:rPr>
      </w:pPr>
      <w:r w:rsidRPr="00652EBF">
        <w:rPr>
          <w:lang w:val="ru-RU"/>
        </w:rPr>
        <w:t xml:space="preserve">Значительные пробелы наблюдаются в регулировании ответственности за создание и распространение синтетических данных, используемых для фишинга и дипфейков. Отсутствие специальных норм, регламентирующих правовой статус искусственно сгенерированного контента, позволяет злоумышленникам эксплуатировать эту нишу практически безнаказанно. Особую сложность представляет установление факта противоправности при генерации персональных данных, поскольку действующее законодательство не содержит четких критериев их идентификации в цифровой среде. Международная правовая кооперация в сфере противодействия ИИ-мошенничеству сталкивается с отсутствием унифицированных подходов к квалификации таких деяний. Различия в национальных законодательствах создают условия для трансграничного ухода от ответственности. «Злоумышленникам, используя новые схемы совершения преступлений и способы их сокрытия, все чаще удается уходить от правосудия — раскрываемость таких преступлений в 2024 году снизилась до 23 %» [13, </w:t>
      </w:r>
      <w:r>
        <w:t>c</w:t>
      </w:r>
      <w:r w:rsidRPr="00652EBF">
        <w:rPr>
          <w:lang w:val="ru-RU"/>
        </w:rPr>
        <w:t xml:space="preserve">.255]. Данная статистика свидетельствует о системных проблемах в международном </w:t>
      </w:r>
      <w:r w:rsidRPr="00652EBF">
        <w:rPr>
          <w:lang w:val="ru-RU"/>
        </w:rPr>
        <w:lastRenderedPageBreak/>
        <w:t>взаимодействии правоохранительных органов. Правовая неопределенность возникает при установлении субъекта ответственности за вред, причиненный ИИ-системами. Действующее законодательство не предусматривает механизмов привлечения к ответственности разработчиков алгоритмов в случаях, когда преступный результат достигается через непредсказуемое поведение автономных систем. Это приводит к ситуации, когда возмещение вреда возможно лишь в рамках гражданско-правовых отношений по нормам статьи 1074 ГК РФ, что не соответствует общественной опасности таких деяний. Выявленные пробелы в законодательстве РФ демонстрируют необходимость адаптации уголовно-правовых норм к новым реалиям цифровой эпохи. Требуется разработка специализированных составов преступлений, учитывающих специфику ИИ-технологий, включая критерии квалификации алгоритмических действий и ответственности за распространение синтетических данных. Отсутствие таких мер будет способствовать дальнейшему росту латентности рассматриваемых видов мошенничества и снижению эффективности правоохранительной деятельности.</w:t>
      </w:r>
    </w:p>
    <w:p w:rsidR="00057329" w:rsidRPr="00652EBF" w:rsidRDefault="00690B28">
      <w:pPr>
        <w:rPr>
          <w:lang w:val="ru-RU"/>
        </w:rPr>
      </w:pPr>
      <w:r w:rsidRPr="00652EBF">
        <w:rPr>
          <w:lang w:val="ru-RU"/>
        </w:rPr>
        <w:br w:type="page"/>
      </w:r>
    </w:p>
    <w:p w:rsidR="00057329" w:rsidRPr="00652EBF" w:rsidRDefault="00690B28">
      <w:pPr>
        <w:pStyle w:val="1"/>
        <w:rPr>
          <w:lang w:val="ru-RU"/>
        </w:rPr>
      </w:pPr>
      <w:bookmarkStart w:id="6" w:name="_Toc226643054"/>
      <w:r w:rsidRPr="00652EBF">
        <w:rPr>
          <w:lang w:val="ru-RU"/>
        </w:rPr>
        <w:lastRenderedPageBreak/>
        <w:t>ГЛАВА 2 ЭФФЕКТИВНОСТЬ ТЕКУЩИХ МЕХАНИЗМОВ</w:t>
      </w:r>
      <w:bookmarkEnd w:id="6"/>
    </w:p>
    <w:p w:rsidR="00057329" w:rsidRPr="00652EBF" w:rsidRDefault="00690B28">
      <w:pPr>
        <w:pStyle w:val="2"/>
        <w:rPr>
          <w:lang w:val="ru-RU"/>
        </w:rPr>
      </w:pPr>
      <w:bookmarkStart w:id="7" w:name="_Toc226643055"/>
      <w:r w:rsidRPr="00652EBF">
        <w:rPr>
          <w:lang w:val="ru-RU"/>
        </w:rPr>
        <w:t>2.1. Проблемы квалификации преступлений, связанных с ИИ-мошенничеством</w:t>
      </w:r>
      <w:bookmarkEnd w:id="7"/>
    </w:p>
    <w:p w:rsidR="00057329" w:rsidRPr="00652EBF" w:rsidRDefault="00690B28">
      <w:pPr>
        <w:rPr>
          <w:lang w:val="ru-RU"/>
        </w:rPr>
      </w:pPr>
      <w:r w:rsidRPr="00652EBF">
        <w:rPr>
          <w:lang w:val="ru-RU"/>
        </w:rPr>
        <w:t xml:space="preserve">Традиционные составы преступлений, предусмотренные Уголовным кодексом РФ, демонстрируют ограниченную применимость к случаям мошенничества с использованием искусственного интеллекта. Отсутствие специализированных норм, учитывающих алгоритмическую природу действий, создаёт существенные сложности для правовой квалификации. Особенность ИИ-систем заключается в их способности к самообучению и генерации поведенческих паттернов, не предусмотренных изначально разработчиками. «Во-первых, законодательство России еще не определило юридический статус ИИ, что вызывает сложности при определении прав и обязанностей, связанных с использованием ИИ, а также при определении ответственности за его действия [10, </w:t>
      </w:r>
      <w:r>
        <w:t>c</w:t>
      </w:r>
      <w:r w:rsidRPr="00652EBF">
        <w:rPr>
          <w:lang w:val="ru-RU"/>
        </w:rPr>
        <w:t>.359]». Данный правовой пробел приводит к невозможности адекватной оценки алгоритмических действий в рамках существующих составов мошенничества. Отсутствие чётких критериев для квалификации автономных действий ИИ-систем требует пересмотра традиционных подходов к определению объективной стороны преступления.</w:t>
      </w:r>
    </w:p>
    <w:p w:rsidR="00057329" w:rsidRPr="00652EBF" w:rsidRDefault="00690B28">
      <w:pPr>
        <w:rPr>
          <w:lang w:val="ru-RU"/>
        </w:rPr>
      </w:pPr>
      <w:r w:rsidRPr="00652EBF">
        <w:rPr>
          <w:lang w:val="ru-RU"/>
        </w:rPr>
        <w:t xml:space="preserve">Автономное функционирование ИИ-систем создаёт принципиальные сложности при установлении объективной стороны преступления. Генерация мошеннических схем происходит без прямого человеческого контроля на всех этапах реализации противоправного деяния. Это обусловлено способностью систем искусственного интеллекта к самостоятельному анализу данных и принятию решений на основе выявленных закономерностей. Доказательство причинно-следственной связи между действиями разработчиков и наступившими последствиями становится проблематичным в условиях полной алгоритмизации процесса. Отсутствие постоянного мониторинга со стороны человека исключает возможность применения традиционных подходов к установлению вины. Сложности усугубляются тем, что ИИ-системы могут </w:t>
      </w:r>
      <w:r w:rsidRPr="00652EBF">
        <w:rPr>
          <w:lang w:val="ru-RU"/>
        </w:rPr>
        <w:lastRenderedPageBreak/>
        <w:t>модифицировать свои поведенческие модели уже после внедрения в эксплуатацию.</w:t>
      </w:r>
    </w:p>
    <w:p w:rsidR="00057329" w:rsidRPr="00652EBF" w:rsidRDefault="00690B28">
      <w:pPr>
        <w:rPr>
          <w:lang w:val="ru-RU"/>
        </w:rPr>
      </w:pPr>
      <w:r w:rsidRPr="00652EBF">
        <w:rPr>
          <w:lang w:val="ru-RU"/>
        </w:rPr>
        <w:t>Распределённый характер причинения вреда ИИ-системами порождает проблемы разграничения ответственности между различными участниками процесса. Разработчики, операторы и конечные пользователи могут находиться в разных юрисдикциях, что осложняет установление субъектного состава преступления. Неопределённость в определении степени контроля каждого участника над функционированием системы создаёт правовые коллизии. Отсутствие чётких критериев для распределения ответственности приводит к невозможности однозначной квалификации действий каждого из причастных лиц. Особую сложность представляет установление умысла в случаях, когда разработчики не предполагали криминального использования созданных алгоритмов. Данная проблема требует разработки новых правовых механизмов, учитывающих многоуровневую природу взаимодействия с ИИ-технологиями.</w:t>
      </w:r>
    </w:p>
    <w:p w:rsidR="00057329" w:rsidRPr="00652EBF" w:rsidRDefault="00690B28">
      <w:pPr>
        <w:pStyle w:val="2"/>
        <w:rPr>
          <w:lang w:val="ru-RU"/>
        </w:rPr>
      </w:pPr>
      <w:bookmarkStart w:id="8" w:name="_Toc226643056"/>
      <w:r w:rsidRPr="00652EBF">
        <w:rPr>
          <w:lang w:val="ru-RU"/>
        </w:rPr>
        <w:t>2.2. Сложности доказывания умысла и идентификации субъектов преступлений</w:t>
      </w:r>
      <w:bookmarkEnd w:id="8"/>
    </w:p>
    <w:p w:rsidR="00057329" w:rsidRPr="00652EBF" w:rsidRDefault="00690B28">
      <w:pPr>
        <w:rPr>
          <w:lang w:val="ru-RU"/>
        </w:rPr>
      </w:pPr>
      <w:r w:rsidRPr="00652EBF">
        <w:rPr>
          <w:lang w:val="ru-RU"/>
        </w:rPr>
        <w:t xml:space="preserve">Установление субъективной стороны преступления при использовании самообучающихся алгоритмов осложняется опосредованным характером вины. Традиционные подходы к доказыванию умысла предполагают прямую связь между действиями лица и преступным результатом, однако в случае с ИИ-системами эта связь становится неочевидной. Алгоритмы, способные к автономному обучению и принятию решений, создают разрыв в причинно-следственной цепи между разработчиком и конечным противоправным действием. Сложность усугубляется тем, что самообучающиеся системы могут генерировать непредсказуемые поведенческие паттерны, не заложенные изначально создателями. Это ставит под вопрос саму возможность установления вины в форме умысла или неосторожности, поскольку разработчик физически не способен предвидеть все возможные сценарии работы алгоритма. Даже при наличии злого умысла у одного из участников </w:t>
      </w:r>
      <w:r w:rsidRPr="00652EBF">
        <w:rPr>
          <w:lang w:val="ru-RU"/>
        </w:rPr>
        <w:lastRenderedPageBreak/>
        <w:t xml:space="preserve">процесса доказать его причастность к конкретному преступному результату становится проблематичным. Указанные проблемы приводят к правовой неопределенности при квалификации действий лиц, причастных к созданию и использованию </w:t>
      </w:r>
      <w:r>
        <w:t xml:space="preserve">ИИ-систем. </w:t>
      </w:r>
      <w:r w:rsidRPr="00652EBF">
        <w:rPr>
          <w:lang w:val="ru-RU"/>
        </w:rPr>
        <w:t>Отсутствие четких критериев распределения ответственности между разработчиками, операторами и конечными пользователями создает пробелы в правоприменении. Судебная практика демонстрирует трудности в доказывании субъективной стороны даже в случаях очевидного причинения вреда автономными системами.</w:t>
      </w:r>
    </w:p>
    <w:p w:rsidR="00057329" w:rsidRPr="00652EBF" w:rsidRDefault="00690B28">
      <w:pPr>
        <w:rPr>
          <w:lang w:val="ru-RU"/>
        </w:rPr>
      </w:pPr>
      <w:r w:rsidRPr="00652EBF">
        <w:rPr>
          <w:lang w:val="ru-RU"/>
        </w:rPr>
        <w:t xml:space="preserve">Идентификация истинных виновников преступлений затрудняется анонимностью цифровых платформ и использованием криптографических средств защиты данных. Злоумышленники активно эксплуатируют возможности </w:t>
      </w:r>
      <w:r>
        <w:t>Darknet</w:t>
      </w:r>
      <w:r w:rsidRPr="00652EBF">
        <w:rPr>
          <w:lang w:val="ru-RU"/>
        </w:rPr>
        <w:t xml:space="preserve"> и анонимных мессенджеров для координации действий и сокрытия следов преступной деятельности. Это существенно ограничивает возможности правоохранительных органов по установлению личности субъектов преступления и сбору доказательственной базы. Дополнительным фактором сложности выступает коллективный характер разработки современных ИИ-систем, где участие множества субъектов размывает границы ответственности. В условиях распределенной работы над алгоритмами и использования </w:t>
      </w:r>
      <w:r>
        <w:t>open</w:t>
      </w:r>
      <w:r w:rsidRPr="00652EBF">
        <w:rPr>
          <w:lang w:val="ru-RU"/>
        </w:rPr>
        <w:t>-</w:t>
      </w:r>
      <w:r>
        <w:t>source</w:t>
      </w:r>
      <w:r w:rsidRPr="00652EBF">
        <w:rPr>
          <w:lang w:val="ru-RU"/>
        </w:rPr>
        <w:t xml:space="preserve"> решений установить конкретное лицо, ответственное за внедрение вредоносного функционала, становится практически невозможным. Данная проблема актуализирует необходимость разработки новых правовых механизмов распределенной ответственности в цифровой среде.</w:t>
      </w:r>
    </w:p>
    <w:p w:rsidR="00057329" w:rsidRPr="00652EBF" w:rsidRDefault="00690B28">
      <w:pPr>
        <w:pStyle w:val="2"/>
        <w:rPr>
          <w:lang w:val="ru-RU"/>
        </w:rPr>
      </w:pPr>
      <w:bookmarkStart w:id="9" w:name="_Toc226643057"/>
      <w:r w:rsidRPr="00652EBF">
        <w:rPr>
          <w:lang w:val="ru-RU"/>
        </w:rPr>
        <w:t>2.3. Оценка эффективности существующих инструментов расследования и судебного преследования</w:t>
      </w:r>
      <w:bookmarkEnd w:id="9"/>
    </w:p>
    <w:p w:rsidR="00057329" w:rsidRPr="00652EBF" w:rsidRDefault="00690B28">
      <w:pPr>
        <w:rPr>
          <w:lang w:val="ru-RU"/>
        </w:rPr>
      </w:pPr>
      <w:r w:rsidRPr="00652EBF">
        <w:rPr>
          <w:lang w:val="ru-RU"/>
        </w:rPr>
        <w:t xml:space="preserve">Традиционные следственные методы демонстрируют ограниченную эффективность при работе с цифровыми доказательствами, генерируемыми ИИ-системами. Динамичный характер таких преступлений требует оперативного реагирования, тогда как стандартные процедуры сбора и анализа </w:t>
      </w:r>
      <w:r w:rsidRPr="00652EBF">
        <w:rPr>
          <w:lang w:val="ru-RU"/>
        </w:rPr>
        <w:lastRenderedPageBreak/>
        <w:t>данных остаются ресурсоёмкими и медленными. Особую сложность представляет обработка информации в реальном времени, когда алгоритмы способны мгновенно модифицировать доказательственную базу. Это создаёт существенные препятствия для реконструкции преступных схем и установления объективной истины по делу. Практика расследования дел о дипфейках иллюстрирует системные проблемы традиционных подходов. Технологии генерации синтетического контента оставляют минимальные цифровые следы, затрудняя идентификацию исходных данных и алгоритмов. Криминалистический анализ часто ограничивается установлением факта манипуляции, но не позволяет определить авторство или умысел. Данная ситуация требует пересмотра процессуальных стандартов доказывания с учётом специфики нейросетевых технологий.</w:t>
      </w:r>
    </w:p>
    <w:p w:rsidR="00057329" w:rsidRPr="00652EBF" w:rsidRDefault="00690B28">
      <w:pPr>
        <w:rPr>
          <w:lang w:val="ru-RU"/>
        </w:rPr>
      </w:pPr>
      <w:r w:rsidRPr="00652EBF">
        <w:rPr>
          <w:lang w:val="ru-RU"/>
        </w:rPr>
        <w:t xml:space="preserve">Существующие экспертные методики демонстрируют недостаточную адаптацию к анализу алгоритмически созданных мошеннических схем. Традиционные криминалистические подходы, разработанные для статичных цифровых артефактов, не учитывают способность ИИ-систем к непрерывному обучению и эволюции. Особую проблему представляет верификация происхождения контента, поскольку нейросетевые модели могут генерировать уникальные комбинации данных без прямых аналогов в реальности. Это приводит к ошибкам в оценке доказательственной ценности материалов, полученных с использованием ИИ. Современные криминалистические подходы требуют интеграции специализированных методов анализа машинного обучения. Необходима разработка протоколов тестирования алгоритмов на предмет их вовлечённости в генерацию противоправного контента. Отсутствие стандартизированных методик проверки нейросетевых моделей затрудняет проведение повторных экспертиз и снижает достоверность выводов. Решение этих проблем предполагает создание междисциплинарных исследовательских групп, объединяющих юристов и специалистов по </w:t>
      </w:r>
      <w:r>
        <w:t>data</w:t>
      </w:r>
      <w:r w:rsidRPr="00652EBF">
        <w:rPr>
          <w:lang w:val="ru-RU"/>
        </w:rPr>
        <w:t xml:space="preserve"> </w:t>
      </w:r>
      <w:r>
        <w:t>science</w:t>
      </w:r>
      <w:r w:rsidRPr="00652EBF">
        <w:rPr>
          <w:lang w:val="ru-RU"/>
        </w:rPr>
        <w:t>.</w:t>
      </w:r>
    </w:p>
    <w:p w:rsidR="00057329" w:rsidRPr="00652EBF" w:rsidRDefault="00690B28">
      <w:pPr>
        <w:rPr>
          <w:lang w:val="ru-RU"/>
        </w:rPr>
      </w:pPr>
      <w:r w:rsidRPr="00652EBF">
        <w:rPr>
          <w:lang w:val="ru-RU"/>
        </w:rPr>
        <w:lastRenderedPageBreak/>
        <w:t>Расследование трансграничных ИИ-мошенничеств сталкивается с ограничениями международного правового сотрудничества. Различия в национальных регуляторных подходах к классификации ИИ-преступлений создают конфликты юрисдикций при установлении подследственности дел. Отсутствие унифицированных стандартов обмена цифровыми доказательствами осложняет их признание в иностранных юрисдикциях. Особую проблему представляет экстрадиция подозреваемых, поскольку многие страны не рассматривают манипуляции с ИИ как основание для выдачи.</w:t>
      </w:r>
    </w:p>
    <w:p w:rsidR="00057329" w:rsidRPr="00652EBF" w:rsidRDefault="00690B28">
      <w:pPr>
        <w:rPr>
          <w:lang w:val="ru-RU"/>
        </w:rPr>
      </w:pPr>
      <w:r w:rsidRPr="00652EBF">
        <w:rPr>
          <w:lang w:val="ru-RU"/>
        </w:rPr>
        <w:br w:type="page"/>
      </w:r>
    </w:p>
    <w:p w:rsidR="00057329" w:rsidRPr="00652EBF" w:rsidRDefault="00652EBF">
      <w:pPr>
        <w:pStyle w:val="1"/>
        <w:rPr>
          <w:lang w:val="ru-RU"/>
        </w:rPr>
      </w:pPr>
      <w:bookmarkStart w:id="10" w:name="_Toc226643058"/>
      <w:r>
        <w:rPr>
          <w:lang w:val="ru-RU"/>
        </w:rPr>
        <w:lastRenderedPageBreak/>
        <w:t xml:space="preserve">ГЛАВА 3 </w:t>
      </w:r>
      <w:r w:rsidR="00690B28" w:rsidRPr="00652EBF">
        <w:rPr>
          <w:lang w:val="ru-RU"/>
        </w:rPr>
        <w:t xml:space="preserve">ДЕЙСТВУЮЩАЯ ПРАВОВАЯ БАЗА И ПРАВОПРИМЕНИТЕЛЬНАЯ ПРАКТИКА В РФ </w:t>
      </w:r>
      <w:bookmarkEnd w:id="10"/>
    </w:p>
    <w:p w:rsidR="00057329" w:rsidRPr="00652EBF" w:rsidRDefault="006D6ABC">
      <w:pPr>
        <w:pStyle w:val="2"/>
        <w:rPr>
          <w:lang w:val="ru-RU"/>
        </w:rPr>
      </w:pPr>
      <w:bookmarkStart w:id="11" w:name="_Toc226643059"/>
      <w:r>
        <w:rPr>
          <w:lang w:val="ru-RU"/>
        </w:rPr>
        <w:t xml:space="preserve">3.1. </w:t>
      </w:r>
      <w:bookmarkStart w:id="12" w:name="_GoBack"/>
      <w:bookmarkEnd w:id="12"/>
      <w:r w:rsidR="00690B28" w:rsidRPr="00652EBF">
        <w:rPr>
          <w:lang w:val="ru-RU"/>
        </w:rPr>
        <w:t xml:space="preserve"> Уголовно правовые нормы</w:t>
      </w:r>
      <w:bookmarkEnd w:id="11"/>
    </w:p>
    <w:p w:rsidR="00057329" w:rsidRPr="00652EBF" w:rsidRDefault="00690B28">
      <w:pPr>
        <w:rPr>
          <w:lang w:val="ru-RU"/>
        </w:rPr>
      </w:pPr>
      <w:r w:rsidRPr="00652EBF">
        <w:rPr>
          <w:lang w:val="ru-RU"/>
        </w:rPr>
        <w:t>Статьи 159 и 159.6 Уголовного кодекса Российской Федерации традиционно применяются для квалификации мошеннических действий. Первая охватывает общие составы преступления, связанные с хищением чужого имущества путём обмана или злоупотребления доверием. Вторая специально регулирует компьютерное мошенничество, предусматривая ответственность за вмешательство в функционирование средств хранения, обработки или передачи информации. Эти нормы формально могут быть использованы для привлечения к ответственности за некоторые виды ИИ-мошенничества, особенно если преступление сопряжено с несанкционированным доступом к данным. Однако существующие формулировки статей не учитывают специфику преступлений, совершаемых с применением технологий искусственного интеллекта. Алгоритмическая природа ИИ позволяет автоматизировать мошеннические схемы, что существенно увеличивает их масштаб и сложность доказательства прямого умысла. Особые трудности возникают при квалификации действий, где ИИ действует автономно или генерирует новые способы обмана в процессе самообучения. Это создаёт правовые неопределённости при применении традиционных составов преступления к принципиально новым формам противоправной деятельности.</w:t>
      </w:r>
    </w:p>
    <w:p w:rsidR="00057329" w:rsidRPr="00652EBF" w:rsidRDefault="00690B28">
      <w:pPr>
        <w:rPr>
          <w:lang w:val="ru-RU"/>
        </w:rPr>
      </w:pPr>
      <w:r w:rsidRPr="00652EBF">
        <w:rPr>
          <w:lang w:val="ru-RU"/>
        </w:rPr>
        <w:t>Отсутствие специальных норм, учитывающих алгоритмическую природу ИИ, приводит к существенным проблемам квалификации. Действующие составы преступлений ориентированы на человеческий фактор и не предусматривают ответственности за действия, инициированные или масштабируемые искусственным интеллектом. Сложности возникают при установлении причинно-следственной связи между разработкой ИИ-системы и наступившими последствиями, особенно если злоумышленник лишь создал условия для её неправомерного использования. Масштабируемость ИИ-</w:t>
      </w:r>
      <w:r w:rsidRPr="00652EBF">
        <w:rPr>
          <w:lang w:val="ru-RU"/>
        </w:rPr>
        <w:lastRenderedPageBreak/>
        <w:t>мошенничества дополнительно осложняет применение существующих уголовно-правовых норм. Традиционные составы преступлений не учитывают потенциал одновременного воздействия на неограниченный круг потерпевших через автоматизированные системы. Это создаёт дисбаланс между реальным общественным вредом и предусмотренной санкцией, поскольку законодательством не дифференцирована ответственность за массовые кибератаки с использованием самообучающихся алгоритмов. Указанные пробелы снижают эффективность противодействия новым формам преступности в цифровой среде.</w:t>
      </w:r>
    </w:p>
    <w:p w:rsidR="00057329" w:rsidRPr="00652EBF" w:rsidRDefault="00652EBF">
      <w:pPr>
        <w:pStyle w:val="2"/>
        <w:rPr>
          <w:lang w:val="ru-RU"/>
        </w:rPr>
      </w:pPr>
      <w:bookmarkStart w:id="13" w:name="_Toc226643060"/>
      <w:r>
        <w:rPr>
          <w:lang w:val="ru-RU"/>
        </w:rPr>
        <w:t xml:space="preserve">3.2. </w:t>
      </w:r>
      <w:r w:rsidR="00690B28" w:rsidRPr="00652EBF">
        <w:rPr>
          <w:lang w:val="ru-RU"/>
        </w:rPr>
        <w:t>Регулирование ИИ и данных</w:t>
      </w:r>
      <w:bookmarkEnd w:id="13"/>
    </w:p>
    <w:p w:rsidR="00057329" w:rsidRPr="00652EBF" w:rsidRDefault="00690B28">
      <w:pPr>
        <w:rPr>
          <w:lang w:val="ru-RU"/>
        </w:rPr>
      </w:pPr>
      <w:r w:rsidRPr="00652EBF">
        <w:rPr>
          <w:lang w:val="ru-RU"/>
        </w:rPr>
        <w:t>Федеральный закон №123-ФЗ «Об экспериментальных правовых режимах в сфере искусственного интеллекта» представляет собой первую системную попытку регулирования ИИ-технологий в РФ. Закон устанавливает базовые требования к разработке и внедрению ИИ-систем, акцентируя внимание на вопросах безопасности и этических нормах. Однако его положения носят преимущественно декларативный характер и не содержат конкретных механизмов противодействия мошенническим схемам. Отсутствие специализированных норм, прямо направленных на пресечение злоупотреблений ИИ, существенно ограничивает применимость данного правового акта в контексте борьбы с цифровым мошенничеством.</w:t>
      </w:r>
    </w:p>
    <w:p w:rsidR="00057329" w:rsidRPr="00652EBF" w:rsidRDefault="00690B28">
      <w:pPr>
        <w:rPr>
          <w:lang w:val="ru-RU"/>
        </w:rPr>
      </w:pPr>
      <w:r w:rsidRPr="00652EBF">
        <w:rPr>
          <w:lang w:val="ru-RU"/>
        </w:rPr>
        <w:t xml:space="preserve">Правовой режим данных как объекта преступления требует переосмысления в условиях их обработки нейросетевыми алгоритмами. Современное законодательство не учитывает специфику автоматизированного создания синтетических данных, используемых в мошеннических целях. Правовая квалификация таких действий затруднена из-за отсутствия четкого определения статуса искусственно сгенерированной информации. Это создаёт правовые лакуны, позволяющие злоумышленникам избегать ответственности за незаконные операции с данными. Обработка персональных данных нейросетевыми системами порождает дополнительные сложности в </w:t>
      </w:r>
      <w:r w:rsidRPr="00652EBF">
        <w:rPr>
          <w:lang w:val="ru-RU"/>
        </w:rPr>
        <w:lastRenderedPageBreak/>
        <w:t>установлении состава преступления. Действующие нормы закона «О персональных данных» не предусматривают особенностей их обработки ИИ-алгоритмами, что осложняет доказывание факта неправомерного использования. Отсутствие специальных требований к аудиту алгоритмов, осуществляющих автоматизированную обработку данных, снижает эффективность мер по предотвращению утечек и их последующему использованию в мошеннических схемах.</w:t>
      </w:r>
    </w:p>
    <w:p w:rsidR="00057329" w:rsidRPr="00652EBF" w:rsidRDefault="00690B28">
      <w:pPr>
        <w:rPr>
          <w:lang w:val="ru-RU"/>
        </w:rPr>
      </w:pPr>
      <w:r w:rsidRPr="00652EBF">
        <w:rPr>
          <w:lang w:val="ru-RU"/>
        </w:rPr>
        <w:t>Действующее законодательство содержит пробелы в регулировании ответственности разработчиков ИИ-систем и операторов платформ. Отсутствие чётких критериев распределения ответственности между создателями алгоритмов и пользователями, применяющими их в противоправных целях, создаёт правовую неопределённость. Не разработаны механизмы привлечения к ответственности за непреднамеренное использование ИИ в мошеннических схемах. Это требует формирования специализированных норм, устанавливающих границы ответственности субъектов цифровой экосистемы.</w:t>
      </w:r>
    </w:p>
    <w:p w:rsidR="00057329" w:rsidRPr="00652EBF" w:rsidRDefault="00690B28">
      <w:pPr>
        <w:rPr>
          <w:lang w:val="ru-RU"/>
        </w:rPr>
      </w:pPr>
      <w:r w:rsidRPr="00652EBF">
        <w:rPr>
          <w:lang w:val="ru-RU"/>
        </w:rPr>
        <w:br w:type="page"/>
      </w:r>
    </w:p>
    <w:p w:rsidR="00057329" w:rsidRPr="00652EBF" w:rsidRDefault="00690B28">
      <w:pPr>
        <w:pStyle w:val="1"/>
        <w:rPr>
          <w:lang w:val="ru-RU"/>
        </w:rPr>
      </w:pPr>
      <w:bookmarkStart w:id="14" w:name="_Toc226643061"/>
      <w:r w:rsidRPr="00652EBF">
        <w:rPr>
          <w:lang w:val="ru-RU"/>
        </w:rPr>
        <w:lastRenderedPageBreak/>
        <w:t>ГЛАВА 4 РЕКОМЕНДАЦИИ И МЕЖВЕДОМСТВЕННОЕ ВЗАИМОДЕЙСТВИЕ</w:t>
      </w:r>
      <w:bookmarkEnd w:id="14"/>
    </w:p>
    <w:p w:rsidR="00057329" w:rsidRPr="00652EBF" w:rsidRDefault="00690B28">
      <w:pPr>
        <w:pStyle w:val="2"/>
        <w:rPr>
          <w:lang w:val="ru-RU"/>
        </w:rPr>
      </w:pPr>
      <w:bookmarkStart w:id="15" w:name="_Toc226643062"/>
      <w:r w:rsidRPr="00652EBF">
        <w:rPr>
          <w:lang w:val="ru-RU"/>
        </w:rPr>
        <w:t>4.1. Предложения по совершенствованию законодательства: введение специализированных норм</w:t>
      </w:r>
      <w:bookmarkEnd w:id="15"/>
    </w:p>
    <w:p w:rsidR="00057329" w:rsidRPr="00652EBF" w:rsidRDefault="00690B28">
      <w:pPr>
        <w:rPr>
          <w:lang w:val="ru-RU"/>
        </w:rPr>
      </w:pPr>
      <w:r w:rsidRPr="00652EBF">
        <w:rPr>
          <w:lang w:val="ru-RU"/>
        </w:rPr>
        <w:t>Современное законодательство Российской Федерации не в полной мере учитывает специфику преступлений, совершаемых с использованием технологий искусственного интеллекта. Отсутствие специализированных норм создает трудности при квалификации таких деяний и назначении адекватного наказания. Динамичное развитие ИИ-технологий требует своевременной адаптации уголовно-правовых механизмов для эффективного противодействия новым вызовам. Введение отдельных составов преступлений позволит дифференцировать ответственность за разработку и применение ИИ-систем в мошеннических целях. Целесообразным представляется дополнение Уголовного кодекса РФ статьями, прямо предусматривающими ответственность за создание, распространение и использование ИИ-алгоритмов для совершения мошеннических действий. Особое внимание следует уделить регламентации ответственности за разработку систем, специально предназначенных для обхода систем безопасности или манипулирования данными. Подобные меры позволят устранить существующие пробелы в правовом регулировании и создать действенные механизмы пресечения ИИ-мошенничества.</w:t>
      </w:r>
    </w:p>
    <w:p w:rsidR="00057329" w:rsidRPr="00652EBF" w:rsidRDefault="00690B28">
      <w:pPr>
        <w:rPr>
          <w:lang w:val="ru-RU"/>
        </w:rPr>
      </w:pPr>
      <w:r w:rsidRPr="00652EBF">
        <w:rPr>
          <w:lang w:val="ru-RU"/>
        </w:rPr>
        <w:t xml:space="preserve">Разработка критериев квалификации ИИ-мошенничества как самостоятельного состава преступления требует учета степени автономности системы и характера вмешательства человека. «Проблема определения ответственности за ошибки, допущенные искусственным интеллектом, остается неразрешенной, а необходимость закрепления этических принципов в нормативных актах требует тщательной проработки [2, </w:t>
      </w:r>
      <w:r>
        <w:t>c</w:t>
      </w:r>
      <w:r w:rsidRPr="00652EBF">
        <w:rPr>
          <w:lang w:val="ru-RU"/>
        </w:rPr>
        <w:t>.106]». Критерии должны включать оценку умысла разработчика, уровень контроля за ИИ-системой и характер причиненного вреда, что обеспечит единообразие судебной практики.</w:t>
      </w:r>
    </w:p>
    <w:p w:rsidR="00057329" w:rsidRPr="00652EBF" w:rsidRDefault="00690B28">
      <w:pPr>
        <w:pStyle w:val="2"/>
        <w:rPr>
          <w:lang w:val="ru-RU"/>
        </w:rPr>
      </w:pPr>
      <w:bookmarkStart w:id="16" w:name="_Toc226643063"/>
      <w:r w:rsidRPr="00652EBF">
        <w:rPr>
          <w:lang w:val="ru-RU"/>
        </w:rPr>
        <w:lastRenderedPageBreak/>
        <w:t>4.2. Разработка новых инструментов мониторинга и предотвращения ИИ-мошенничества</w:t>
      </w:r>
      <w:bookmarkEnd w:id="16"/>
    </w:p>
    <w:p w:rsidR="00057329" w:rsidRPr="00652EBF" w:rsidRDefault="00690B28">
      <w:pPr>
        <w:rPr>
          <w:lang w:val="ru-RU"/>
        </w:rPr>
      </w:pPr>
      <w:r w:rsidRPr="00652EBF">
        <w:rPr>
          <w:lang w:val="ru-RU"/>
        </w:rPr>
        <w:t xml:space="preserve">Внедрение алгоритмов машинного обучения представляет собой перспективное направление для выявления аномальных финансовых операций, связанных с ИИ-мошенничеством. Эти системы способны анализировать большие массивы данных в режиме реального времени, обнаруживая паттерны, нехарактерные для обычных транзакций. По сравнению с традиционными правиловыми системами, </w:t>
      </w:r>
      <w:r>
        <w:t>ML</w:t>
      </w:r>
      <w:r w:rsidRPr="00652EBF">
        <w:rPr>
          <w:lang w:val="ru-RU"/>
        </w:rPr>
        <w:t>-алгоритмы демонстрируют более высокую точность при распознавании сложных схем манипулирования данными. Применение методов глубокого обучения позволяет идентифицировать даже слабовыраженные признаки вмешательства искусственного интеллекта в финансовые потоки.</w:t>
      </w:r>
    </w:p>
    <w:p w:rsidR="00057329" w:rsidRPr="00652EBF" w:rsidRDefault="00690B28">
      <w:pPr>
        <w:rPr>
          <w:lang w:val="ru-RU"/>
        </w:rPr>
      </w:pPr>
      <w:r w:rsidRPr="00652EBF">
        <w:rPr>
          <w:lang w:val="ru-RU"/>
        </w:rPr>
        <w:t>Создание государственно-частных платформ для обмена данными о киберугрозах с элементами ИИ способствует формированию единого информационного пространства для противодействия мошенничеству. Такие платформы позволяют объединять ресурсы регуляторных органов, финансовых институтов и технологических компаний для оперативного выявления новых угроз. Интеграция искусственного интеллекта в системы анализа данных обеспечивает автоматизацию процессов классификации инцидентов и прогнозирования потенциальных атак. Совместное использование обезличенных данных о мошеннических схемах повышает эффективность превентивных мер на национальном уровне.</w:t>
      </w:r>
    </w:p>
    <w:p w:rsidR="00057329" w:rsidRPr="00652EBF" w:rsidRDefault="00690B28">
      <w:pPr>
        <w:pStyle w:val="2"/>
        <w:rPr>
          <w:lang w:val="ru-RU"/>
        </w:rPr>
      </w:pPr>
      <w:bookmarkStart w:id="17" w:name="_Toc226643064"/>
      <w:r w:rsidRPr="00652EBF">
        <w:rPr>
          <w:lang w:val="ru-RU"/>
        </w:rPr>
        <w:t>4.3. Модель межведомственного взаимодействия для оперативного реагирования на инциденты</w:t>
      </w:r>
      <w:bookmarkEnd w:id="17"/>
    </w:p>
    <w:p w:rsidR="00057329" w:rsidRPr="00652EBF" w:rsidRDefault="00690B28">
      <w:pPr>
        <w:rPr>
          <w:lang w:val="ru-RU"/>
        </w:rPr>
      </w:pPr>
      <w:r w:rsidRPr="00652EBF">
        <w:rPr>
          <w:lang w:val="ru-RU"/>
        </w:rPr>
        <w:t xml:space="preserve">Ключевым элементом системы противодействия ИИ-мошенничеству является создание единого координационного центра, объединяющего правоохранительные, регуляторные и надзорные органы. Такой центр позволит централизовать сбор и анализ данных о киберпреступлениях с использованием искусственного интеллекта, обеспечив оперативный обмен информацией </w:t>
      </w:r>
      <w:r w:rsidRPr="00652EBF">
        <w:rPr>
          <w:lang w:val="ru-RU"/>
        </w:rPr>
        <w:lastRenderedPageBreak/>
        <w:t xml:space="preserve">между ведомствами. «Международные организации, такие как ООН или ЮНЕСКО, могли бы сыграть важную роль в координации усилий» [1, </w:t>
      </w:r>
      <w:r>
        <w:t>c</w:t>
      </w:r>
      <w:r w:rsidRPr="00652EBF">
        <w:rPr>
          <w:lang w:val="ru-RU"/>
        </w:rPr>
        <w:t>.108], что подтверждает необходимость аналогичного подхода на национальном уровне. Формирование подобной структуры повысит эффективность выявления и пресечения сложных схем мошенничества.</w:t>
      </w:r>
    </w:p>
    <w:p w:rsidR="00057329" w:rsidRPr="00652EBF" w:rsidRDefault="00690B28">
      <w:pPr>
        <w:rPr>
          <w:lang w:val="ru-RU"/>
        </w:rPr>
      </w:pPr>
      <w:r w:rsidRPr="00652EBF">
        <w:rPr>
          <w:lang w:val="ru-RU"/>
        </w:rPr>
        <w:t xml:space="preserve">Для минимизации последствий масштабных ИИ-атак на финансовую систему требуются специальные протоколы экстренного реагирования, включающие алгоритмы блокировки подозрительных операций и изоляции затронутых сегментов инфраструктуры. «Искусственный интеллект способствует повышению качества работы правоохранительных органов путем автоматизации рутинных операций и анализа данных. Системы машинного обучения могут быстро обрабатывать огромные объемы информации, выявляя скрытые связи между различными событиями и лицами, что значительно ускоряет процесс расследования» [11, </w:t>
      </w:r>
      <w:r>
        <w:t>c</w:t>
      </w:r>
      <w:r w:rsidRPr="00652EBF">
        <w:rPr>
          <w:lang w:val="ru-RU"/>
        </w:rPr>
        <w:t>.21]. Интеграция таких технологий в протоколы позволит сократить время реакции на инциденты и снизить финансовые потери.</w:t>
      </w:r>
    </w:p>
    <w:p w:rsidR="00057329" w:rsidRPr="00652EBF" w:rsidRDefault="00690B28">
      <w:pPr>
        <w:rPr>
          <w:lang w:val="ru-RU"/>
        </w:rPr>
      </w:pPr>
      <w:r w:rsidRPr="00652EBF">
        <w:rPr>
          <w:lang w:val="ru-RU"/>
        </w:rPr>
        <w:t>Расследование трансграничных ИИ-преступлений требует развития международных механизмов сотрудничества, включающих гармонизацию законодательств и создание единых стандартов обмена цифровыми доказательствами. Участие в международных инициативах по кибербезопасности и подписание двусторонних соглашений об экстрадиции упростят процедуру привлечения к ответственности злоумышленников, действующих из-за рубежа. Совместные учения и обмен опытом между специализированными подразделениями разных стран повысят эффективность противодействия глобальным угрозам ИИ-мошенничества.</w:t>
      </w:r>
    </w:p>
    <w:p w:rsidR="00057329" w:rsidRPr="00652EBF" w:rsidRDefault="00690B28">
      <w:pPr>
        <w:rPr>
          <w:lang w:val="ru-RU"/>
        </w:rPr>
      </w:pPr>
      <w:r w:rsidRPr="00652EBF">
        <w:rPr>
          <w:lang w:val="ru-RU"/>
        </w:rPr>
        <w:br w:type="page"/>
      </w:r>
    </w:p>
    <w:p w:rsidR="00057329" w:rsidRPr="00652EBF" w:rsidRDefault="00690B28">
      <w:pPr>
        <w:pStyle w:val="1"/>
        <w:rPr>
          <w:lang w:val="ru-RU"/>
        </w:rPr>
      </w:pPr>
      <w:bookmarkStart w:id="18" w:name="_Toc226643065"/>
      <w:r w:rsidRPr="00652EBF">
        <w:rPr>
          <w:lang w:val="ru-RU"/>
        </w:rPr>
        <w:lastRenderedPageBreak/>
        <w:t>ЗАКЛЮЧЕНИЕ</w:t>
      </w:r>
      <w:bookmarkEnd w:id="18"/>
    </w:p>
    <w:p w:rsidR="00057329" w:rsidRPr="00652EBF" w:rsidRDefault="00690B28">
      <w:pPr>
        <w:rPr>
          <w:lang w:val="ru-RU"/>
        </w:rPr>
      </w:pPr>
      <w:r w:rsidRPr="00652EBF">
        <w:rPr>
          <w:lang w:val="ru-RU"/>
        </w:rPr>
        <w:t>Экспоненциальный рост мошенничества с использованием ИИ, зафиксированный в международных отчётах 2023 года, выявил системные пробелы в законодательстве. Действующие правовые нормы, ориентированные на традиционные формы преступлений, не учитывают специфику генеративных технологий и распределённых алгоритмов. Это создаёт правовой вакуум в защите цифрового доверия, что подтверждается выводами классификации современных видов ИИ-мошенничества.</w:t>
      </w:r>
    </w:p>
    <w:p w:rsidR="00057329" w:rsidRPr="00652EBF" w:rsidRDefault="00690B28">
      <w:pPr>
        <w:rPr>
          <w:lang w:val="ru-RU"/>
        </w:rPr>
      </w:pPr>
      <w:r w:rsidRPr="00652EBF">
        <w:rPr>
          <w:lang w:val="ru-RU"/>
        </w:rPr>
        <w:t xml:space="preserve">Традиционные правоприменительные механизмы демонстрируют методологическую несостоятельность при расследовании преступлений с использованием ИИ. Трудности установления умысла и идентификации субъектов ответственности обусловлены анонимностью и распределённостью </w:t>
      </w:r>
      <w:r>
        <w:t xml:space="preserve">ИИ-систем. </w:t>
      </w:r>
      <w:r w:rsidRPr="00652EBF">
        <w:rPr>
          <w:lang w:val="ru-RU"/>
        </w:rPr>
        <w:t>Проблемы доказывания причинно-следственных связей в автоматизированных процессах подрывают эффективность существующих инструментов судебного преследования.</w:t>
      </w:r>
    </w:p>
    <w:p w:rsidR="00057329" w:rsidRPr="00652EBF" w:rsidRDefault="00690B28">
      <w:pPr>
        <w:rPr>
          <w:lang w:val="ru-RU"/>
        </w:rPr>
      </w:pPr>
      <w:r w:rsidRPr="00652EBF">
        <w:rPr>
          <w:lang w:val="ru-RU"/>
        </w:rPr>
        <w:t>Сравнительно-правовой анализ международного регулирования подтверждает необходимость адаптивных правовых конструкций для противодействия ИИ-мошенничеству. Сочетание специализированных составов преступлений с динамичными стандартами доказывания особенно актуально для российской правовой системы. Данный подход соответствует задачам технологического суверенитета и гармонизирует национальные нормы с глобальными вызовами.</w:t>
      </w:r>
    </w:p>
    <w:p w:rsidR="00057329" w:rsidRPr="00652EBF" w:rsidRDefault="00690B28">
      <w:pPr>
        <w:rPr>
          <w:lang w:val="ru-RU"/>
        </w:rPr>
      </w:pPr>
      <w:r w:rsidRPr="00652EBF">
        <w:rPr>
          <w:lang w:val="ru-RU"/>
        </w:rPr>
        <w:t>Предложенная модель межведомственного взаимодействия формирует основу превентивной правовой защиты от ИИ-мошенничества. Введение специализированных норм ответственности дополняется технологическим мониторингом угроз и процессуальными инновациями. Такой комплексный подход обеспечивает координацию государственных структур и частного сектора для оперативного реагирования на киберпреступления нового поколения.</w:t>
      </w:r>
    </w:p>
    <w:p w:rsidR="00057329" w:rsidRPr="00652EBF" w:rsidRDefault="00057329">
      <w:pPr>
        <w:rPr>
          <w:lang w:val="ru-RU"/>
        </w:rPr>
      </w:pPr>
    </w:p>
    <w:p w:rsidR="00057329" w:rsidRDefault="00690B28">
      <w:pPr>
        <w:pStyle w:val="1"/>
      </w:pPr>
      <w:bookmarkStart w:id="19" w:name="_Toc226643066"/>
      <w:r>
        <w:t>СПИСОК ЛИТЕРАТУРЫ</w:t>
      </w:r>
      <w:bookmarkEnd w:id="19"/>
    </w:p>
    <w:p w:rsidR="00057329" w:rsidRPr="00652EBF" w:rsidRDefault="00690B28">
      <w:pPr>
        <w:numPr>
          <w:ilvl w:val="0"/>
          <w:numId w:val="2"/>
        </w:numPr>
        <w:rPr>
          <w:lang w:val="ru-RU"/>
        </w:rPr>
      </w:pPr>
      <w:r w:rsidRPr="00652EBF">
        <w:rPr>
          <w:lang w:val="ru-RU"/>
        </w:rPr>
        <w:t>Аксенов С.Г. Правовые аспекты регулирования искусственного интеллекта: вызовы и перспективы // Социальное управление. — 2025. — №3. — С. 105–110.</w:t>
      </w:r>
    </w:p>
    <w:p w:rsidR="00057329" w:rsidRPr="00652EBF" w:rsidRDefault="00690B28">
      <w:pPr>
        <w:numPr>
          <w:ilvl w:val="0"/>
          <w:numId w:val="2"/>
        </w:numPr>
        <w:rPr>
          <w:lang w:val="ru-RU"/>
        </w:rPr>
      </w:pPr>
      <w:r w:rsidRPr="00652EBF">
        <w:rPr>
          <w:lang w:val="ru-RU"/>
        </w:rPr>
        <w:t>Аксенов С.Г. Правовые аспекты регулирования искусственного интеллекта: вызовы и перспективы // Социальное управление. — 2025. — №3. — С. 105–110.</w:t>
      </w:r>
    </w:p>
    <w:p w:rsidR="00057329" w:rsidRPr="00652EBF" w:rsidRDefault="00690B28">
      <w:pPr>
        <w:numPr>
          <w:ilvl w:val="0"/>
          <w:numId w:val="2"/>
        </w:numPr>
        <w:rPr>
          <w:lang w:val="ru-RU"/>
        </w:rPr>
      </w:pPr>
      <w:r w:rsidRPr="00652EBF">
        <w:rPr>
          <w:lang w:val="ru-RU"/>
        </w:rPr>
        <w:t>Алферов О.Л., Алферова Е.В. Информационные технологии и «цифровая» преступность (обзор) // Социальные и гуманитарные науки. Отечественная и зарубежная литература: ИАЖ. Сер: Государство и право. — 2024. — №4. — С. 83–96.</w:t>
      </w:r>
    </w:p>
    <w:p w:rsidR="00057329" w:rsidRPr="00652EBF" w:rsidRDefault="00690B28">
      <w:pPr>
        <w:numPr>
          <w:ilvl w:val="0"/>
          <w:numId w:val="2"/>
        </w:numPr>
        <w:rPr>
          <w:lang w:val="ru-RU"/>
        </w:rPr>
      </w:pPr>
      <w:r w:rsidRPr="00652EBF">
        <w:rPr>
          <w:lang w:val="ru-RU"/>
        </w:rPr>
        <w:t>Братановский С.Н. «Разумные машины» – в глазах правоведа // Государство и право. — 2019. — №1. — С. 201–204.</w:t>
      </w:r>
    </w:p>
    <w:p w:rsidR="00057329" w:rsidRDefault="00690B28">
      <w:pPr>
        <w:numPr>
          <w:ilvl w:val="0"/>
          <w:numId w:val="2"/>
        </w:numPr>
      </w:pPr>
      <w:r w:rsidRPr="00652EBF">
        <w:rPr>
          <w:lang w:val="ru-RU"/>
        </w:rPr>
        <w:t xml:space="preserve">Волынец М.Д. История развития технологии дипфейк // Путь в науку. </w:t>
      </w:r>
      <w:r>
        <w:t>Юридические науки. — 2024. — №52. — С. 91–92.</w:t>
      </w:r>
    </w:p>
    <w:p w:rsidR="00057329" w:rsidRDefault="00690B28">
      <w:pPr>
        <w:numPr>
          <w:ilvl w:val="0"/>
          <w:numId w:val="2"/>
        </w:numPr>
      </w:pPr>
      <w:r w:rsidRPr="00652EBF">
        <w:rPr>
          <w:lang w:val="ru-RU"/>
        </w:rPr>
        <w:t xml:space="preserve">Даниленко Ю.А. Использование искусственного интеллекта в преступных целях: уголовно-правовая характеристика // Ученые записки Крымского федерального университета имени В. И. Вернадского. </w:t>
      </w:r>
      <w:r>
        <w:t>Юридические науки. — 2023. — №4. — С. 232–240.</w:t>
      </w:r>
    </w:p>
    <w:p w:rsidR="00057329" w:rsidRPr="00652EBF" w:rsidRDefault="00690B28">
      <w:pPr>
        <w:numPr>
          <w:ilvl w:val="0"/>
          <w:numId w:val="2"/>
        </w:numPr>
        <w:rPr>
          <w:lang w:val="ru-RU"/>
        </w:rPr>
      </w:pPr>
      <w:r w:rsidRPr="00652EBF">
        <w:rPr>
          <w:lang w:val="ru-RU"/>
        </w:rPr>
        <w:t>Перина А.С. Квалификация цифровых преступлений против личности: проблемные вопросы // Вестник Югорского государственного университета. — 2023. — №2. — С. 89–104.</w:t>
      </w:r>
    </w:p>
    <w:p w:rsidR="00057329" w:rsidRPr="00652EBF" w:rsidRDefault="00690B28">
      <w:pPr>
        <w:numPr>
          <w:ilvl w:val="0"/>
          <w:numId w:val="2"/>
        </w:numPr>
        <w:rPr>
          <w:lang w:val="ru-RU"/>
        </w:rPr>
      </w:pPr>
      <w:r w:rsidRPr="00652EBF">
        <w:rPr>
          <w:lang w:val="ru-RU"/>
        </w:rPr>
        <w:t>Ручкина Г.Ф., Демченко М.В. Правовое регулирование искусственного интеллекта, роботов и объектов робототехники в транспортной сфере: отечественный и зарубежный опыт // Сравнительное правоведение. — 2021. — №2. — С. 40–44.</w:t>
      </w:r>
    </w:p>
    <w:p w:rsidR="00057329" w:rsidRPr="00652EBF" w:rsidRDefault="00690B28">
      <w:pPr>
        <w:numPr>
          <w:ilvl w:val="0"/>
          <w:numId w:val="2"/>
        </w:numPr>
        <w:rPr>
          <w:lang w:val="ru-RU"/>
        </w:rPr>
      </w:pPr>
      <w:r w:rsidRPr="00652EBF">
        <w:rPr>
          <w:lang w:val="ru-RU"/>
        </w:rPr>
        <w:lastRenderedPageBreak/>
        <w:t>Степаненко Д.А., Бахтеев Д.В., Евстратова Ю.А. Использование систем искусственного интеллекта в правоохранительной деятельности // Всероссийский криминологический журнал. — 2020. — №2. — С. 206–214.</w:t>
      </w:r>
    </w:p>
    <w:p w:rsidR="00057329" w:rsidRPr="00652EBF" w:rsidRDefault="00690B28">
      <w:pPr>
        <w:numPr>
          <w:ilvl w:val="0"/>
          <w:numId w:val="2"/>
        </w:numPr>
        <w:rPr>
          <w:lang w:val="ru-RU"/>
        </w:rPr>
      </w:pPr>
      <w:r w:rsidRPr="00652EBF">
        <w:rPr>
          <w:lang w:val="ru-RU"/>
        </w:rPr>
        <w:t>Тронин С.А. Правовые особенности искусственного интеллекта как объекта изучения // Вопросы российского и международного права. — 2023. — №4. — С. 357–363.</w:t>
      </w:r>
    </w:p>
    <w:p w:rsidR="00057329" w:rsidRPr="00652EBF" w:rsidRDefault="00690B28">
      <w:pPr>
        <w:numPr>
          <w:ilvl w:val="0"/>
          <w:numId w:val="2"/>
        </w:numPr>
        <w:rPr>
          <w:lang w:val="ru-RU"/>
        </w:rPr>
      </w:pPr>
      <w:r w:rsidRPr="00652EBF">
        <w:rPr>
          <w:lang w:val="ru-RU"/>
        </w:rPr>
        <w:t>Хамидуллин Р.С. Криминалистическое обеспечение использования технологии искусственного интеллекта в раскрытии и расследовании преступлений // Электронное приложение к «Российскому юридическому журналу». — 2024. — №2. — С. 19–29.</w:t>
      </w:r>
    </w:p>
    <w:p w:rsidR="00057329" w:rsidRPr="00652EBF" w:rsidRDefault="00690B28">
      <w:pPr>
        <w:numPr>
          <w:ilvl w:val="0"/>
          <w:numId w:val="2"/>
        </w:numPr>
        <w:rPr>
          <w:lang w:val="ru-RU"/>
        </w:rPr>
      </w:pPr>
      <w:r w:rsidRPr="00652EBF">
        <w:rPr>
          <w:lang w:val="ru-RU"/>
        </w:rPr>
        <w:t>Харисов А.Ф. Внедрение интеграционных методов исследования в экспертно-криминалистическую деятельность // Вестник института права Башкирского государственного университета. — 2024. — №4. — С. 222–230.</w:t>
      </w:r>
    </w:p>
    <w:p w:rsidR="00057329" w:rsidRPr="00652EBF" w:rsidRDefault="00690B28">
      <w:pPr>
        <w:numPr>
          <w:ilvl w:val="0"/>
          <w:numId w:val="2"/>
        </w:numPr>
        <w:rPr>
          <w:lang w:val="ru-RU"/>
        </w:rPr>
      </w:pPr>
      <w:r w:rsidRPr="00652EBF">
        <w:rPr>
          <w:lang w:val="ru-RU"/>
        </w:rPr>
        <w:t>Шевко Н.Р., Лукина М.А. Кибермошенничество: новые методы, старые цели // Виктимология. — 2025. — №2. — С. 250–259.</w:t>
      </w:r>
    </w:p>
    <w:sectPr w:rsidR="00057329" w:rsidRPr="00652EBF">
      <w:footerReference w:type="default" r:id="rId8"/>
      <w:pgSz w:w="11905" w:h="16837"/>
      <w:pgMar w:top="1133" w:right="566" w:bottom="1133" w:left="17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DBA" w:rsidRDefault="00DA5DBA">
      <w:pPr>
        <w:spacing w:after="0" w:line="240" w:lineRule="auto"/>
      </w:pPr>
      <w:r>
        <w:separator/>
      </w:r>
    </w:p>
  </w:endnote>
  <w:endnote w:type="continuationSeparator" w:id="0">
    <w:p w:rsidR="00DA5DBA" w:rsidRDefault="00DA5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329" w:rsidRDefault="00690B28">
    <w:pPr>
      <w:jc w:val="center"/>
    </w:pPr>
    <w:r>
      <w:fldChar w:fldCharType="begin"/>
    </w:r>
    <w:r>
      <w:rPr>
        <w:rFonts w:eastAsia="Times New Roman"/>
      </w:rPr>
      <w:instrText>PAGE</w:instrText>
    </w:r>
    <w:r>
      <w:fldChar w:fldCharType="separate"/>
    </w:r>
    <w:r w:rsidR="006D6ABC">
      <w:rPr>
        <w:rFonts w:eastAsia="Times New Roman"/>
        <w:noProof/>
      </w:rPr>
      <w:t>17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DBA" w:rsidRDefault="00DA5DBA">
      <w:pPr>
        <w:spacing w:after="0" w:line="240" w:lineRule="auto"/>
      </w:pPr>
      <w:r>
        <w:separator/>
      </w:r>
    </w:p>
  </w:footnote>
  <w:footnote w:type="continuationSeparator" w:id="0">
    <w:p w:rsidR="00DA5DBA" w:rsidRDefault="00DA5D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811B88"/>
    <w:multiLevelType w:val="hybridMultilevel"/>
    <w:tmpl w:val="8964490A"/>
    <w:lvl w:ilvl="0" w:tplc="6E1EFE38">
      <w:start w:val="1"/>
      <w:numFmt w:val="decimal"/>
      <w:lvlText w:val="%1."/>
      <w:lvlJc w:val="left"/>
      <w:pPr>
        <w:tabs>
          <w:tab w:val="num" w:pos="720"/>
        </w:tabs>
        <w:ind w:left="720" w:hanging="360"/>
      </w:pPr>
      <w:rPr>
        <w:rFonts w:hint="default"/>
      </w:rPr>
    </w:lvl>
    <w:lvl w:ilvl="1" w:tplc="49828896">
      <w:start w:val="1"/>
      <w:numFmt w:val="bullet"/>
      <w:lvlText w:val="o"/>
      <w:lvlJc w:val="left"/>
      <w:pPr>
        <w:tabs>
          <w:tab w:val="num" w:pos="1440"/>
        </w:tabs>
        <w:ind w:left="1440" w:hanging="360"/>
      </w:pPr>
      <w:rPr>
        <w:rFonts w:ascii="Courier New" w:hAnsi="Courier New" w:cs="Courier New" w:hint="default"/>
      </w:rPr>
    </w:lvl>
    <w:lvl w:ilvl="2" w:tplc="5816C16C">
      <w:start w:val="1"/>
      <w:numFmt w:val="bullet"/>
      <w:lvlText w:val=""/>
      <w:lvlJc w:val="left"/>
      <w:pPr>
        <w:tabs>
          <w:tab w:val="num" w:pos="2160"/>
        </w:tabs>
        <w:ind w:left="2160" w:hanging="360"/>
      </w:pPr>
      <w:rPr>
        <w:rFonts w:ascii="Wingdings" w:hAnsi="Wingdings" w:cs="Wingdings" w:hint="default"/>
      </w:rPr>
    </w:lvl>
    <w:lvl w:ilvl="3" w:tplc="DFDEFDFA">
      <w:start w:val="1"/>
      <w:numFmt w:val="bullet"/>
      <w:lvlText w:val=""/>
      <w:lvlJc w:val="left"/>
      <w:pPr>
        <w:tabs>
          <w:tab w:val="num" w:pos="2880"/>
        </w:tabs>
        <w:ind w:left="2880" w:hanging="360"/>
      </w:pPr>
      <w:rPr>
        <w:rFonts w:ascii="Symbol" w:hAnsi="Symbol" w:cs="Symbol" w:hint="default"/>
      </w:rPr>
    </w:lvl>
    <w:lvl w:ilvl="4" w:tplc="F4D882BA">
      <w:start w:val="1"/>
      <w:numFmt w:val="bullet"/>
      <w:lvlText w:val="o"/>
      <w:lvlJc w:val="left"/>
      <w:pPr>
        <w:tabs>
          <w:tab w:val="num" w:pos="3600"/>
        </w:tabs>
        <w:ind w:left="3600" w:hanging="360"/>
      </w:pPr>
      <w:rPr>
        <w:rFonts w:ascii="Courier New" w:hAnsi="Courier New" w:cs="Courier New" w:hint="default"/>
      </w:rPr>
    </w:lvl>
    <w:lvl w:ilvl="5" w:tplc="9104DC1C">
      <w:start w:val="1"/>
      <w:numFmt w:val="bullet"/>
      <w:lvlText w:val=""/>
      <w:lvlJc w:val="left"/>
      <w:pPr>
        <w:tabs>
          <w:tab w:val="num" w:pos="4320"/>
        </w:tabs>
        <w:ind w:left="4320" w:hanging="360"/>
      </w:pPr>
      <w:rPr>
        <w:rFonts w:ascii="Wingdings" w:hAnsi="Wingdings" w:cs="Wingdings" w:hint="default"/>
      </w:rPr>
    </w:lvl>
    <w:lvl w:ilvl="6" w:tplc="A01A6C22">
      <w:start w:val="1"/>
      <w:numFmt w:val="bullet"/>
      <w:lvlText w:val=""/>
      <w:lvlJc w:val="left"/>
      <w:pPr>
        <w:tabs>
          <w:tab w:val="num" w:pos="5040"/>
        </w:tabs>
        <w:ind w:left="5040" w:hanging="360"/>
      </w:pPr>
      <w:rPr>
        <w:rFonts w:ascii="Symbol" w:hAnsi="Symbol" w:cs="Symbol" w:hint="default"/>
      </w:rPr>
    </w:lvl>
    <w:lvl w:ilvl="7" w:tplc="B18CB8EA">
      <w:start w:val="1"/>
      <w:numFmt w:val="bullet"/>
      <w:lvlText w:val="o"/>
      <w:lvlJc w:val="left"/>
      <w:pPr>
        <w:tabs>
          <w:tab w:val="num" w:pos="5760"/>
        </w:tabs>
        <w:ind w:left="5760" w:hanging="360"/>
      </w:pPr>
      <w:rPr>
        <w:rFonts w:ascii="Courier New" w:hAnsi="Courier New" w:cs="Courier New" w:hint="default"/>
      </w:rPr>
    </w:lvl>
    <w:lvl w:ilvl="8" w:tplc="6E3454CE">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FBC686FC"/>
    <w:multiLevelType w:val="hybridMultilevel"/>
    <w:tmpl w:val="F23C674E"/>
    <w:lvl w:ilvl="0" w:tplc="B51C8C84">
      <w:start w:val="1"/>
      <w:numFmt w:val="bullet"/>
      <w:lvlText w:val=""/>
      <w:lvlJc w:val="left"/>
      <w:pPr>
        <w:tabs>
          <w:tab w:val="num" w:pos="720"/>
        </w:tabs>
        <w:ind w:left="720" w:hanging="360"/>
      </w:pPr>
      <w:rPr>
        <w:rFonts w:ascii="Symbol" w:hAnsi="Symbol" w:cs="Symbol" w:hint="default"/>
      </w:rPr>
    </w:lvl>
    <w:lvl w:ilvl="1" w:tplc="0A8CEC28">
      <w:start w:val="1"/>
      <w:numFmt w:val="bullet"/>
      <w:lvlText w:val="o"/>
      <w:lvlJc w:val="left"/>
      <w:pPr>
        <w:tabs>
          <w:tab w:val="num" w:pos="1440"/>
        </w:tabs>
        <w:ind w:left="1440" w:hanging="360"/>
      </w:pPr>
      <w:rPr>
        <w:rFonts w:ascii="Courier New" w:hAnsi="Courier New" w:cs="Courier New" w:hint="default"/>
      </w:rPr>
    </w:lvl>
    <w:lvl w:ilvl="2" w:tplc="40A8BE30">
      <w:start w:val="1"/>
      <w:numFmt w:val="bullet"/>
      <w:lvlText w:val=""/>
      <w:lvlJc w:val="left"/>
      <w:pPr>
        <w:tabs>
          <w:tab w:val="num" w:pos="2160"/>
        </w:tabs>
        <w:ind w:left="2160" w:hanging="360"/>
      </w:pPr>
      <w:rPr>
        <w:rFonts w:ascii="Wingdings" w:hAnsi="Wingdings" w:cs="Wingdings" w:hint="default"/>
      </w:rPr>
    </w:lvl>
    <w:lvl w:ilvl="3" w:tplc="EAECEFA0">
      <w:start w:val="1"/>
      <w:numFmt w:val="bullet"/>
      <w:lvlText w:val=""/>
      <w:lvlJc w:val="left"/>
      <w:pPr>
        <w:tabs>
          <w:tab w:val="num" w:pos="2880"/>
        </w:tabs>
        <w:ind w:left="2880" w:hanging="360"/>
      </w:pPr>
      <w:rPr>
        <w:rFonts w:ascii="Symbol" w:hAnsi="Symbol" w:cs="Symbol" w:hint="default"/>
      </w:rPr>
    </w:lvl>
    <w:lvl w:ilvl="4" w:tplc="60C02084">
      <w:start w:val="1"/>
      <w:numFmt w:val="bullet"/>
      <w:lvlText w:val="o"/>
      <w:lvlJc w:val="left"/>
      <w:pPr>
        <w:tabs>
          <w:tab w:val="num" w:pos="3600"/>
        </w:tabs>
        <w:ind w:left="3600" w:hanging="360"/>
      </w:pPr>
      <w:rPr>
        <w:rFonts w:ascii="Courier New" w:hAnsi="Courier New" w:cs="Courier New" w:hint="default"/>
      </w:rPr>
    </w:lvl>
    <w:lvl w:ilvl="5" w:tplc="E548A362">
      <w:start w:val="1"/>
      <w:numFmt w:val="bullet"/>
      <w:lvlText w:val=""/>
      <w:lvlJc w:val="left"/>
      <w:pPr>
        <w:tabs>
          <w:tab w:val="num" w:pos="4320"/>
        </w:tabs>
        <w:ind w:left="4320" w:hanging="360"/>
      </w:pPr>
      <w:rPr>
        <w:rFonts w:ascii="Wingdings" w:hAnsi="Wingdings" w:cs="Wingdings" w:hint="default"/>
      </w:rPr>
    </w:lvl>
    <w:lvl w:ilvl="6" w:tplc="6B0C08AC">
      <w:start w:val="1"/>
      <w:numFmt w:val="bullet"/>
      <w:lvlText w:val=""/>
      <w:lvlJc w:val="left"/>
      <w:pPr>
        <w:tabs>
          <w:tab w:val="num" w:pos="5040"/>
        </w:tabs>
        <w:ind w:left="5040" w:hanging="360"/>
      </w:pPr>
      <w:rPr>
        <w:rFonts w:ascii="Symbol" w:hAnsi="Symbol" w:cs="Symbol" w:hint="default"/>
      </w:rPr>
    </w:lvl>
    <w:lvl w:ilvl="7" w:tplc="2D72BDB2">
      <w:start w:val="1"/>
      <w:numFmt w:val="bullet"/>
      <w:lvlText w:val="o"/>
      <w:lvlJc w:val="left"/>
      <w:pPr>
        <w:tabs>
          <w:tab w:val="num" w:pos="5760"/>
        </w:tabs>
        <w:ind w:left="5760" w:hanging="360"/>
      </w:pPr>
      <w:rPr>
        <w:rFonts w:ascii="Courier New" w:hAnsi="Courier New" w:cs="Courier New" w:hint="default"/>
      </w:rPr>
    </w:lvl>
    <w:lvl w:ilvl="8" w:tplc="0B6C9C94">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57329"/>
    <w:rsid w:val="00057329"/>
    <w:rsid w:val="000F2386"/>
    <w:rsid w:val="00546995"/>
    <w:rsid w:val="00652EBF"/>
    <w:rsid w:val="00690B28"/>
    <w:rsid w:val="006D6ABC"/>
    <w:rsid w:val="00DA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2E228"/>
  <w15:docId w15:val="{D308E8EF-68B9-4E2D-83AD-0D626FF6F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color w:val="000000"/>
        <w:sz w:val="28"/>
        <w:szCs w:val="28"/>
        <w:lang w:val="en-US"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line="360" w:lineRule="auto"/>
      <w:jc w:val="both"/>
    </w:pPr>
  </w:style>
  <w:style w:type="paragraph" w:styleId="1">
    <w:name w:val="heading 1"/>
    <w:basedOn w:val="a"/>
    <w:pPr>
      <w:jc w:val="center"/>
      <w:outlineLvl w:val="0"/>
    </w:pPr>
    <w:rPr>
      <w:rFonts w:eastAsia="Times New Roman"/>
      <w:b/>
      <w:bCs/>
      <w:caps/>
    </w:rPr>
  </w:style>
  <w:style w:type="paragraph" w:styleId="2">
    <w:name w:val="heading 2"/>
    <w:basedOn w:val="a"/>
    <w:pPr>
      <w:outlineLvl w:val="1"/>
    </w:pPr>
    <w:rPr>
      <w:rFonts w:eastAsia="Times New Roman"/>
      <w:b/>
      <w:bCs/>
    </w:rPr>
  </w:style>
  <w:style w:type="paragraph" w:styleId="3">
    <w:name w:val="heading 3"/>
    <w:basedOn w:val="a"/>
    <w:pPr>
      <w:outlineLvl w:val="2"/>
    </w:pPr>
    <w:rPr>
      <w:rFonts w:eastAsia="Times New Roman"/>
      <w:b/>
      <w:bCs/>
    </w:rPr>
  </w:style>
  <w:style w:type="paragraph" w:styleId="4">
    <w:name w:val="heading 4"/>
    <w:basedOn w:val="a"/>
    <w:pPr>
      <w:outlineLvl w:val="3"/>
    </w:pPr>
    <w:rPr>
      <w:rFonts w:eastAsia="Times New Roman"/>
      <w:b/>
      <w:bCs/>
    </w:rPr>
  </w:style>
  <w:style w:type="paragraph" w:styleId="5">
    <w:name w:val="heading 5"/>
    <w:basedOn w:val="a"/>
    <w:pPr>
      <w:outlineLvl w:val="4"/>
    </w:pPr>
    <w:rPr>
      <w:rFonts w:eastAsia="Times New Roman"/>
      <w:b/>
      <w:bCs/>
    </w:rPr>
  </w:style>
  <w:style w:type="paragraph" w:styleId="6">
    <w:name w:val="heading 6"/>
    <w:basedOn w:val="a"/>
    <w:pPr>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paragraph" w:styleId="10">
    <w:name w:val="toc 1"/>
    <w:basedOn w:val="a"/>
    <w:next w:val="a"/>
    <w:autoRedefine/>
    <w:uiPriority w:val="39"/>
    <w:unhideWhenUsed/>
    <w:rsid w:val="00652EBF"/>
    <w:pPr>
      <w:spacing w:after="100"/>
    </w:pPr>
  </w:style>
  <w:style w:type="paragraph" w:styleId="20">
    <w:name w:val="toc 2"/>
    <w:basedOn w:val="a"/>
    <w:next w:val="a"/>
    <w:autoRedefine/>
    <w:uiPriority w:val="39"/>
    <w:unhideWhenUsed/>
    <w:rsid w:val="00652EBF"/>
    <w:pPr>
      <w:spacing w:after="100"/>
      <w:ind w:left="280"/>
    </w:pPr>
  </w:style>
  <w:style w:type="character" w:styleId="a4">
    <w:name w:val="Hyperlink"/>
    <w:basedOn w:val="a0"/>
    <w:uiPriority w:val="99"/>
    <w:unhideWhenUsed/>
    <w:rsid w:val="00652E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25</Pages>
  <Words>5605</Words>
  <Characters>31952</Characters>
  <Application>Microsoft Office Word</Application>
  <DocSecurity>0</DocSecurity>
  <Lines>266</Lines>
  <Paragraphs>74</Paragraphs>
  <ScaleCrop>false</ScaleCrop>
  <Manager/>
  <Company/>
  <LinksUpToDate>false</LinksUpToDate>
  <CharactersWithSpaces>37483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Киса</cp:lastModifiedBy>
  <cp:revision>4</cp:revision>
  <dcterms:created xsi:type="dcterms:W3CDTF">2026-04-09T12:58:00Z</dcterms:created>
  <dcterms:modified xsi:type="dcterms:W3CDTF">2026-04-16T10:57:00Z</dcterms:modified>
  <cp:category/>
</cp:coreProperties>
</file>