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AFE2A">
      <w:pPr>
        <w:spacing w:after="0" w:line="240" w:lineRule="auto"/>
        <w:jc w:val="center"/>
        <w:rPr>
          <w:rFonts w:hint="default"/>
          <w:lang w:val="ru-RU"/>
        </w:rPr>
      </w:pPr>
      <w:r>
        <w:rPr>
          <w:lang w:val="ru-RU"/>
        </w:rPr>
        <w:t>Военный</w:t>
      </w:r>
      <w:r>
        <w:rPr>
          <w:rFonts w:hint="default"/>
          <w:lang w:val="ru-RU"/>
        </w:rPr>
        <w:t xml:space="preserve"> учебный центр (ВУЦ). Ульяновский институт гражданской авиации имени Главного маршала авиации Б.П.Бугаева</w:t>
      </w:r>
    </w:p>
    <w:p w14:paraId="39AA0B5F">
      <w:pPr>
        <w:spacing w:after="0" w:line="240" w:lineRule="auto"/>
      </w:pPr>
    </w:p>
    <w:p w14:paraId="2483097F">
      <w:pPr>
        <w:spacing w:after="0" w:line="240" w:lineRule="auto"/>
      </w:pPr>
    </w:p>
    <w:p w14:paraId="215EB885">
      <w:pPr>
        <w:spacing w:after="0" w:line="240" w:lineRule="auto"/>
      </w:pPr>
    </w:p>
    <w:p w14:paraId="6446F6AD">
      <w:pPr>
        <w:spacing w:after="0" w:line="240" w:lineRule="auto"/>
      </w:pPr>
    </w:p>
    <w:p w14:paraId="064109DF">
      <w:pPr>
        <w:spacing w:after="0" w:line="240" w:lineRule="auto"/>
        <w:jc w:val="center"/>
      </w:pPr>
      <w:r>
        <w:rPr>
          <w:rFonts w:ascii="Times New Roman" w:hAnsi="Times New Roman" w:eastAsia="Times New Roman" w:cs="Times New Roman"/>
          <w:b/>
          <w:bCs w:val="0"/>
          <w:i w:val="0"/>
          <w:iCs w:val="0"/>
          <w:sz w:val="28"/>
          <w:szCs w:val="28"/>
        </w:rPr>
        <w:t>НАУЧНАЯ СТАТЬЯ</w:t>
      </w:r>
    </w:p>
    <w:p w14:paraId="21E3EA41">
      <w:pPr>
        <w:spacing w:after="0" w:line="240" w:lineRule="auto"/>
      </w:pPr>
    </w:p>
    <w:tbl>
      <w:tblPr>
        <w:tblStyle w:val="9"/>
        <w:tblW w:w="8078" w:type="dxa"/>
        <w:jc w:val="center"/>
        <w:tblBorders>
          <w:top w:val="none" w:color="FFFFFF" w:sz="0" w:space="0"/>
          <w:left w:val="none" w:color="FFFFFF" w:sz="0" w:space="0"/>
          <w:bottom w:val="none" w:color="FFFFFF" w:sz="0" w:space="0"/>
          <w:right w:val="none" w:color="FFFFFF" w:sz="0" w:space="0"/>
          <w:insideH w:val="none" w:color="FFFFFF" w:sz="0" w:space="0"/>
          <w:insideV w:val="none" w:color="FFFFFF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5"/>
        <w:gridCol w:w="7383"/>
      </w:tblGrid>
      <w:tr w14:paraId="703C391C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8" w:type="dxa"/>
            <w:tcBorders>
              <w:top w:val="nil"/>
              <w:left w:val="nil"/>
              <w:bottom w:val="single" w:color="000000" w:sz="0" w:space="0"/>
              <w:right w:val="nil"/>
            </w:tcBorders>
          </w:tcPr>
          <w:p w14:paraId="1A7165F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по</w:t>
            </w:r>
          </w:p>
        </w:tc>
        <w:tc>
          <w:tcPr>
            <w:tcW w:w="7540" w:type="dxa"/>
            <w:tcBorders>
              <w:top w:val="nil"/>
              <w:left w:val="nil"/>
              <w:bottom w:val="single" w:color="000000" w:sz="0" w:space="0"/>
              <w:right w:val="nil"/>
            </w:tcBorders>
          </w:tcPr>
          <w:p w14:paraId="6CF54B1D">
            <w:pPr>
              <w:spacing w:after="0" w:line="240" w:lineRule="auto"/>
              <w:jc w:val="center"/>
            </w:pPr>
            <w:r>
              <w:rPr>
                <w:lang w:val="ru-RU"/>
              </w:rPr>
              <w:t>Общевоенная</w:t>
            </w:r>
            <w:r>
              <w:rPr>
                <w:rFonts w:hint="default"/>
                <w:lang w:val="ru-RU"/>
              </w:rPr>
              <w:t xml:space="preserve"> подготовка</w:t>
            </w:r>
          </w:p>
        </w:tc>
      </w:tr>
      <w:tr w14:paraId="35C2E81A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74CDE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Название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дисциплины</w:t>
            </w:r>
          </w:p>
        </w:tc>
      </w:tr>
      <w:tr w14:paraId="73A0B4F8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2432C">
            <w:pPr>
              <w:spacing w:after="0" w:line="240" w:lineRule="auto"/>
              <w:jc w:val="center"/>
            </w:pPr>
          </w:p>
        </w:tc>
      </w:tr>
      <w:tr w14:paraId="59AD11C0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8" w:type="dxa"/>
            <w:tcBorders>
              <w:top w:val="nil"/>
              <w:left w:val="nil"/>
              <w:bottom w:val="single" w:color="000000" w:sz="0" w:space="0"/>
              <w:right w:val="nil"/>
            </w:tcBorders>
          </w:tcPr>
          <w:p w14:paraId="19B307B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Тема:</w:t>
            </w:r>
          </w:p>
        </w:tc>
        <w:tc>
          <w:tcPr>
            <w:tcW w:w="7540" w:type="dxa"/>
            <w:tcBorders>
              <w:top w:val="nil"/>
              <w:left w:val="nil"/>
              <w:bottom w:val="single" w:color="000000" w:sz="0" w:space="0"/>
              <w:right w:val="nil"/>
            </w:tcBorders>
          </w:tcPr>
          <w:p w14:paraId="5AAF582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технологическая эволюция беспилотного барражирующего боеприпаса «Герань-2»</w:t>
            </w:r>
          </w:p>
        </w:tc>
      </w:tr>
      <w:tr w14:paraId="30B16D36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A9EF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тема</w:t>
            </w:r>
          </w:p>
        </w:tc>
      </w:tr>
    </w:tbl>
    <w:p w14:paraId="35F05CEF">
      <w:pPr>
        <w:spacing w:after="0" w:line="240" w:lineRule="auto"/>
      </w:pPr>
    </w:p>
    <w:p w14:paraId="4A77AFD1">
      <w:pPr>
        <w:spacing w:after="0" w:line="240" w:lineRule="auto"/>
      </w:pPr>
    </w:p>
    <w:p w14:paraId="46DCE9BA">
      <w:pPr>
        <w:spacing w:after="0" w:line="240" w:lineRule="auto"/>
      </w:pPr>
    </w:p>
    <w:tbl>
      <w:tblPr>
        <w:tblStyle w:val="9"/>
        <w:tblW w:w="6278" w:type="dxa"/>
        <w:jc w:val="center"/>
        <w:tblBorders>
          <w:top w:val="none" w:color="FFFFFF" w:sz="0" w:space="0"/>
          <w:left w:val="none" w:color="FFFFFF" w:sz="0" w:space="0"/>
          <w:bottom w:val="none" w:color="FFFFFF" w:sz="0" w:space="0"/>
          <w:right w:val="none" w:color="FFFFFF" w:sz="0" w:space="0"/>
          <w:insideH w:val="none" w:color="FFFFFF" w:sz="0" w:space="0"/>
          <w:insideV w:val="none" w:color="FFFFFF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300"/>
        <w:gridCol w:w="2178"/>
        <w:gridCol w:w="300"/>
        <w:gridCol w:w="1700"/>
      </w:tblGrid>
      <w:tr w14:paraId="45BA5387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CEF570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Автор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374A4284">
            <w:pPr>
              <w:spacing w:after="0" w:line="240" w:lineRule="auto"/>
              <w:jc w:val="center"/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EF4478B">
            <w:pPr>
              <w:spacing w:after="0" w:line="240" w:lineRule="auto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188BE9C6">
            <w:pPr>
              <w:spacing w:after="0" w:line="240" w:lineRule="auto"/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000000" w:sz="0" w:space="0"/>
              <w:right w:val="nil"/>
            </w:tcBorders>
          </w:tcPr>
          <w:p w14:paraId="2BD4298D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Макаров</w:t>
            </w:r>
            <w:r>
              <w:rPr>
                <w:rFonts w:hint="default"/>
                <w:lang w:val="ru-RU"/>
              </w:rPr>
              <w:t xml:space="preserve"> В.В.</w:t>
            </w:r>
          </w:p>
        </w:tc>
      </w:tr>
      <w:tr w14:paraId="513AAA94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F49153">
            <w:pPr>
              <w:spacing w:after="0" w:line="240" w:lineRule="auto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0F41B3E9">
            <w:pPr>
              <w:spacing w:after="0" w:line="240" w:lineRule="auto"/>
              <w:jc w:val="center"/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091AAE3">
            <w:pPr>
              <w:spacing w:after="0" w:line="240" w:lineRule="auto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591E4969">
            <w:pPr>
              <w:spacing w:after="0" w:line="240" w:lineRule="auto"/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82E1C7E">
            <w:pPr>
              <w:spacing w:after="0" w:line="240" w:lineRule="auto"/>
              <w:jc w:val="center"/>
            </w:pPr>
          </w:p>
        </w:tc>
      </w:tr>
      <w:tr w14:paraId="73BDA9F0"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FFFFFF" w:sz="0" w:space="0"/>
            <w:insideV w:val="none" w:color="FFFFFF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73758A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cs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>Автор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04BFCFA5">
            <w:pPr>
              <w:spacing w:after="0" w:line="240" w:lineRule="auto"/>
              <w:jc w:val="center"/>
            </w:pPr>
          </w:p>
        </w:tc>
        <w:tc>
          <w:tcPr>
            <w:tcW w:w="2178" w:type="dxa"/>
            <w:tcBorders>
              <w:top w:val="nil"/>
              <w:left w:val="nil"/>
              <w:bottom w:val="single" w:color="000000" w:sz="0" w:space="0"/>
              <w:right w:val="nil"/>
            </w:tcBorders>
          </w:tcPr>
          <w:p w14:paraId="43174EFD">
            <w:pPr>
              <w:spacing w:after="0" w:line="240" w:lineRule="auto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19B296F5">
            <w:pPr>
              <w:spacing w:after="0" w:line="240" w:lineRule="auto"/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000000" w:sz="0" w:space="0"/>
              <w:right w:val="nil"/>
            </w:tcBorders>
          </w:tcPr>
          <w:p w14:paraId="10804440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Чебуньков</w:t>
            </w:r>
            <w:r>
              <w:rPr>
                <w:rFonts w:hint="default"/>
                <w:lang w:val="ru-RU"/>
              </w:rPr>
              <w:t xml:space="preserve"> А.П.</w:t>
            </w:r>
          </w:p>
        </w:tc>
      </w:tr>
    </w:tbl>
    <w:p w14:paraId="2324FBD1">
      <w:pPr>
        <w:spacing w:after="0" w:line="240" w:lineRule="auto"/>
      </w:pPr>
    </w:p>
    <w:p w14:paraId="4D40E032">
      <w:pPr>
        <w:spacing w:after="0" w:line="240" w:lineRule="auto"/>
      </w:pPr>
    </w:p>
    <w:p w14:paraId="39801820">
      <w:pPr>
        <w:spacing w:after="0" w:line="240" w:lineRule="auto"/>
      </w:pPr>
    </w:p>
    <w:p w14:paraId="5233EB94">
      <w:pPr>
        <w:spacing w:after="0" w:line="240" w:lineRule="auto"/>
      </w:pPr>
    </w:p>
    <w:p w14:paraId="6424C825">
      <w:pPr>
        <w:spacing w:after="0" w:line="240" w:lineRule="auto"/>
        <w:jc w:val="center"/>
      </w:pPr>
      <w:r>
        <w:rPr>
          <w:rFonts w:cs="Times New Roman"/>
          <w:b w:val="0"/>
          <w:bCs w:val="0"/>
          <w:i w:val="0"/>
          <w:iCs w:val="0"/>
          <w:sz w:val="24"/>
          <w:szCs w:val="24"/>
          <w:lang w:val="ru-RU"/>
        </w:rPr>
        <w:t>Ульяновск</w:t>
      </w:r>
      <w:r>
        <w:rPr>
          <w:rFonts w:hint="default" w:cs="Times New Roman"/>
          <w:b w:val="0"/>
          <w:bCs w:val="0"/>
          <w:i w:val="0"/>
          <w:iCs w:val="0"/>
          <w:sz w:val="24"/>
          <w:szCs w:val="24"/>
          <w:lang w:val="en-US"/>
        </w:rPr>
        <w:t>,</w:t>
      </w:r>
      <w:r>
        <w:rPr>
          <w:rFonts w:hint="default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2026 г.</w:t>
      </w:r>
    </w:p>
    <w:p w14:paraId="54C1A964">
      <w:pPr>
        <w:spacing w:after="0" w:line="240" w:lineRule="auto"/>
      </w:pPr>
      <w:r>
        <w:rPr>
          <w:rFonts w:ascii="Times New Roman" w:hAnsi="Times New Roman" w:eastAsia="Times New Roman" w:cs="Times New Roman"/>
        </w:rPr>
        <w:br w:type="page"/>
      </w:r>
    </w:p>
    <w:p w14:paraId="1A969530">
      <w:pPr>
        <w:spacing w:after="60" w:line="276" w:lineRule="auto"/>
        <w:jc w:val="left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УДК 623.746.5 + 004.896</w:t>
      </w:r>
    </w:p>
    <w:p w14:paraId="7FD6FE7F">
      <w:pPr>
        <w:spacing w:after="160" w:line="276" w:lineRule="auto"/>
        <w:jc w:val="left"/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технологическая эволюция беспилотного барражирующего боеприпаса «Герань-2»: от координатной навигации к управляемой платформе с элементами искусственного интеллекта</w:t>
      </w:r>
      <w:bookmarkStart w:id="0" w:name="_GoBack"/>
      <w:bookmarkEnd w:id="0"/>
    </w:p>
    <w:p w14:paraId="048EC264">
      <w:pPr>
        <w:spacing w:after="120" w:line="276" w:lineRule="auto"/>
        <w:jc w:val="both"/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Аннотация.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Статья посвящена технологической эволюции российского ударного беспилотного летательного аппарата «Герань-2», разработанного на основе иранского барражирующего боеприпаса Shahed-136. Рассмотрены последовательные этапы модернизации: внедрение помехозащищённой спутниковой навигации на базе приёмника «Комета-М», установка LTE-модемов с телеметрическим контуром, переход к меш-сетям диапазона 1300-1500 МГц, интеграция спутникового интернет-канала Starlink, а также экспериментальные варианты с ракетами класса «воздух-воздух» и модулями машинного зрения. Показано, что аппарат трансформировался из автономного барражирующего боеприпаса в управляемую оператором платформу с боевой частью до 100 кг и дальностью до 2000 км.</w:t>
      </w:r>
    </w:p>
    <w:p w14:paraId="294C88F5">
      <w:pPr>
        <w:spacing w:after="240" w:line="276" w:lineRule="auto"/>
        <w:jc w:val="both"/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Ключевые слова: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«Герань-2», барражирующий боеприпас, БПЛА-камикадзе, меш-сеть, Starlink, радиоэлектронное подавление, машинное зрение, искусственный интеллект, военные технологии, COTS.</w:t>
      </w:r>
    </w:p>
    <w:p w14:paraId="41FD628B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1. Введение</w:t>
      </w:r>
    </w:p>
    <w:p w14:paraId="291F4FA2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Барражирующие боеприпасы заняли самостоятельную нишу в современных вооружённых конфликтах. Среди них «Герань-2» выделяется масштабом боевого применения и темпом технологических изменений, задокументированных в открытых источниках.</w:t>
      </w:r>
    </w:p>
    <w:p w14:paraId="2139418E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В исходной конфигурации аппарат представлял собой адаптацию иранского Shahed-136: автономный полёт по ГЛОНАСС-маршруту, без оператора на борту и без оптических приборов. Навигацию дублировала инерциальная система, накапливающая погрешности на длинных участках и полезная главным образом на финальном пикировании [1].</w:t>
      </w:r>
    </w:p>
    <w:p w14:paraId="21A79F75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Цель настоящей работы — систематизировать задокументированные этапы модернизации «Герани-2» и оценить траекторию дальнейшего развития этого класса вооружений. Анализ основан на открытых технических описаниях, данных радиоперехватов и материалах осмотра сбитых аппаратов, опубликованных украинскими военными специалистами.</w:t>
      </w:r>
    </w:p>
    <w:p w14:paraId="30F74DA8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2. Помехозащищённая навигационная система</w:t>
      </w:r>
    </w:p>
    <w:p w14:paraId="6A7AB6F6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Ключевое нововведение российской версии — приёмник спутниковой навигации «Комета-М» с многоэлементной антенной с контролируемой диаграммой направленности (CRP-антенна). Число элементов антенны последовательно увеличивалось: 4, 8, 12 и 16 элементов. Для подавления 16-элементной антенны противник должен одновременно задействовать не менее 16 независимых источников радиопомех, что организационно трудно реализуемо в полевых условиях [2].</w:t>
      </w:r>
    </w:p>
    <w:p w14:paraId="6AAE75CE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Нижняя полусфера блока экранирована: приёмник принимает сигнал только из верхней полусферы и игнорирует помехи с земли. Два независимых приёмника ГЛОНАСС/GPS перекрывают все навигационные диапазоны и блокируют спуфинг — подмену ложным спутниковым сигналом. Аналогичные приёмники применяются в ракетах «Искандер», модулях УМПК для авиабомб серии ФАБ и крылатых ракетах.</w:t>
      </w:r>
    </w:p>
    <w:p w14:paraId="34F2CB44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Российская группировка низкоорбитальных спутников радиотехнической разведки дополняет навигационный контур: спутники определяют координаты крупных РЭП-станций противника, что позволяет прокладывать маршруты в обход зон активного подавления. Следствием является малая эффективность применения РЭП против аппарата на маршевом участке: выйдя из зоны глушения, аппарат восстанавливает спутниковый сигнал и корректирует курс [2].</w:t>
      </w:r>
    </w:p>
    <w:p w14:paraId="0C1D6640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3. Первый этап модернизации: LTE-модемы и телеметрия</w:t>
      </w:r>
    </w:p>
    <w:p w14:paraId="4D26EE4B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Первый задокументированный шаг за пределы базовой конструкции — установка модемов мобильной связи стандарта 4G LTE. Ранние образцы крепились с помощью скотча, что характерно для метода быстрого прототипирования. В модемы устанавливались SIM-карты украинских, польских операторов и провайдеров третьих стран (Парагвай, Непал), что затрудняло их выявление и блокировку противником.</w:t>
      </w:r>
    </w:p>
    <w:p w14:paraId="52BEA38C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Модемы выполняли функцию GPS-трекера: местоположение и телеметрические данные (скорость, высота, параметры двигателя) передавались операторам через Telegram-бот. По полученным данным командиры корректировали маршруты последующих аппаратов с учётом выявленных зон ПВО и радиоэлектронной борьбы (РЭБ). Позднее к модемам добавили видеокамеры для попутной разведки.</w:t>
      </w:r>
    </w:p>
    <w:p w14:paraId="29230B20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Итогом этапа стал серийный бортовой блок: два LTE-модема (китайского производства) и одноплатный компьютер Raspberry Pi под управлением Linux, выступающий связующим звеном между модемами и полётным контроллером. Открытая программная архитектура позволяет обновлять прошивку непосредственно перед вылетом. Стоимость компонентов составляет порядка 250 долларов США, что соответствует концепции COTS (Commercial Off-The-Shelf) — использования гражданских компонентов в военных системах [3].</w:t>
      </w:r>
    </w:p>
    <w:p w14:paraId="6E922D6E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4. Меш-сети: переход к управляемому режиму</w:t>
      </w:r>
    </w:p>
    <w:p w14:paraId="7BDF3394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Осенью 2025 года инженеры оснастили аппарат меш-модемами диапазона 1300-1500 МГц. Для сравнения: стандартный Wi-Fi работает на частотах 2,4 и 5 ГГц. Китайские поставщики классифицируют оборудование как Wi-Fi-устройства, фактически поставляя специализированные тактические радиомодемы [4].</w:t>
      </w:r>
    </w:p>
    <w:p w14:paraId="734B42E4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Технические характеристики одного меш-модема: стоимость — около 7 000 долларов США; выходная мощность — 10 Вт на двух каналах; дальность устойчивой связи — свыше 100 км; скорость передачи данных — до 50 Мбит/с. Канал цифровой, шифрованный, устойчивый к подавлению.</w:t>
      </w:r>
    </w:p>
    <w:p w14:paraId="5846DDCD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Каждый модем одновременно принимает, передаёт и ретранслирует данные, формируя самовосстанавливающуюся топологию сети. Уничтожение 80% носителей не разрушает канал: оставшиеся узлы автоматически перестраивают маршрутизацию. По расчётам, пропускная способность в условиях активного РЭБ не опускается ниже уровня, достаточного для трансляции видеопотока с разрешением 4K [4].</w:t>
      </w:r>
    </w:p>
    <w:p w14:paraId="4F47ED93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Меш-связь трансформировала «Герань-2» из автономного боеприпаса в управляемый FPV-дрон с боевой частью 50-100 кг. Операторы ведут аппарат в реальном времени и поражают движущиеся объекты, включая железнодорожные локомотивы. По данным украинских экспертов, потери в этом классе техники уже превысили 60-70% предвоенного парка и признаются невосполнимыми.</w:t>
      </w:r>
    </w:p>
    <w:p w14:paraId="0D6B0009">
      <w:pPr>
        <w:spacing w:before="200" w:after="80" w:line="276" w:lineRule="auto"/>
        <w:jc w:val="center"/>
      </w:pP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>Таблица 1. Сравнение этапов модернизации «Герани-2»</w:t>
      </w:r>
    </w:p>
    <w:tbl>
      <w:tblPr>
        <w:tblStyle w:val="9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00"/>
        <w:gridCol w:w="2200"/>
        <w:gridCol w:w="2200"/>
        <w:gridCol w:w="2426"/>
      </w:tblGrid>
      <w:tr w14:paraId="57A5F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2200" w:type="dxa"/>
            <w:shd w:val="clear" w:color="auto" w:fill="DDDDD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383B3A"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Параметр</w:t>
            </w:r>
          </w:p>
        </w:tc>
        <w:tc>
          <w:tcPr>
            <w:tcW w:w="2200" w:type="dxa"/>
            <w:shd w:val="clear" w:color="auto" w:fill="DDDDD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C0CBFA"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Базовая версия</w:t>
            </w:r>
          </w:p>
        </w:tc>
        <w:tc>
          <w:tcPr>
            <w:tcW w:w="2200" w:type="dxa"/>
            <w:shd w:val="clear" w:color="auto" w:fill="DDDDD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1E4BC9"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LTE-этап</w:t>
            </w:r>
          </w:p>
        </w:tc>
        <w:tc>
          <w:tcPr>
            <w:tcW w:w="2426" w:type="dxa"/>
            <w:shd w:val="clear" w:color="auto" w:fill="DDDDD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726D27"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Меш/Starlink-этап</w:t>
            </w:r>
          </w:p>
        </w:tc>
      </w:tr>
      <w:tr w14:paraId="12467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DEEDB2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Управление оператором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99A825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39CD6D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Нет (только мониторинг)</w:t>
            </w:r>
          </w:p>
        </w:tc>
        <w:tc>
          <w:tcPr>
            <w:tcW w:w="242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8D7954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Да, в реальном времени</w:t>
            </w:r>
          </w:p>
        </w:tc>
      </w:tr>
      <w:tr w14:paraId="5939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D93731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Навигация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A59D86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ГЛОНАСС + инерциальная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6C6161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ГЛОНАСС + LBS-резерв</w:t>
            </w:r>
          </w:p>
        </w:tc>
        <w:tc>
          <w:tcPr>
            <w:tcW w:w="242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BA7551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ГЛОНАСС + меш + спутник</w:t>
            </w:r>
          </w:p>
        </w:tc>
      </w:tr>
      <w:tr w14:paraId="3842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E50004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Канал связи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BBA1D8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18FD66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4G LTE (SIM)</w:t>
            </w:r>
          </w:p>
        </w:tc>
        <w:tc>
          <w:tcPr>
            <w:tcW w:w="242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DE25DC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Меш 1300-1500 МГц / Starlink</w:t>
            </w:r>
          </w:p>
        </w:tc>
      </w:tr>
      <w:tr w14:paraId="3D21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B08553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Поражение движущихся целей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9BB74C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4879FF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2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B929BD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Да</w:t>
            </w:r>
          </w:p>
        </w:tc>
      </w:tr>
      <w:tr w14:paraId="192B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ECBDB2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Дальность управления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7340D5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32BBD9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Зона покрытия оператора</w:t>
            </w:r>
          </w:p>
        </w:tc>
        <w:tc>
          <w:tcPr>
            <w:tcW w:w="242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2740DF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100+ км / глобальная</w:t>
            </w:r>
          </w:p>
        </w:tc>
      </w:tr>
      <w:tr w14:paraId="5A427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24CAA0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Боевая часть, кг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F39F8A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51B3AF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242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7CA1C5"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50-100</w:t>
            </w:r>
          </w:p>
        </w:tc>
      </w:tr>
    </w:tbl>
    <w:p w14:paraId="5F04C4BB">
      <w:pPr>
        <w:spacing w:after="200"/>
      </w:pPr>
    </w:p>
    <w:p w14:paraId="0520ABB1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5. Интеграция Starlink и спутниковое управление</w:t>
      </w:r>
    </w:p>
    <w:p w14:paraId="0BF7EA40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В сентябре 2024 года специалисты ВСУ зафиксировали терминал Starlink в обломках сбитого аппарата [5]. Это убрало зависимость от наземных ретрансляторов меш-сети: оператор получает спутниковый интернет-канал в любой точке маршрута. При дальности аппарата порядка 2 000 км оператор может управлять им из укреплённого пункта, удалённого на тысячи километров от цели.</w:t>
      </w:r>
    </w:p>
    <w:p w14:paraId="5BD7737B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Для экономии массы и объёма терминал разбирают до антенной платы с фазированной решёткой и встраивают в крыло или фюзеляж. Задержка сигнала составляет 20-40 мс. Аккаунты приобретают через третьи страны и активируют в роуминге на территории Украины. Наземные средства РЭБ против спутникового канала управления малоэффективны.</w:t>
      </w:r>
    </w:p>
    <w:p w14:paraId="3F184E74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Starlink открыл возможность атак высокозащищённых объектов. По имеющимся данным, оператор способен направить аппарат точно в открытую створку ангара с истребителем F-16. Рассматривается также применение терминала российской компании Glanaz с габаритами 24x24 см и массой менее 1,5 кг, что сопоставимо с Starlink Mini (30x25 см).</w:t>
      </w:r>
    </w:p>
    <w:p w14:paraId="58B8F2CA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6. Вариант-перехватчик: ракеты класса «воздух-воздух»</w:t>
      </w:r>
    </w:p>
    <w:p w14:paraId="6897BD1B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Наличие надёжного канала прямого управления позволило реализовать вариант аппарата для перехвата воздушных целей. Опытный образец несёт ракету Р-60 на специальном кронштейне с пусковым устройством АПУ-61М и две сетевые камеры обзора. Масса ракеты составляет 50 кг; тепловая головка самонаведения (ГСН) «Комар-М» обеспечивает захват цели на широких углах целеуказания.</w:t>
      </w:r>
    </w:p>
    <w:p w14:paraId="7A9D0E2C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Р-60 выбрана по двум причинам: наименьшая масса в классе ракет «воздух-воздух» и значительные складские запасы. Аппарат барражирует на малой высоте позади основной ударной группы; при появлении воздушной цели в поле зрения камер оператор подаёт команду пуска, после чего ГСН захватывает и сопровождает цель самостоятельно [6].</w:t>
      </w:r>
    </w:p>
    <w:p w14:paraId="24A3509A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Проработаны варианты с ракетой Р-74М с дальностью до 50 км и массой боевой части 7,5 кг. Меньшая масса позволяет разместить на одном носителе несколько ракет. По предположениям украинских специалистов, именно этим объясняется гибель ряда воздушных судов ВВС Украины в конце 2024 года.</w:t>
      </w:r>
    </w:p>
    <w:p w14:paraId="2B74E82C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7. Машинное зрение и перспективы автономного применения</w:t>
      </w:r>
    </w:p>
    <w:p w14:paraId="607731F7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Параллельно с развитием каналов связи в аппараты интегрируют модули машинного зрения на базе NVIDIA Jetson Orin. В обломках сбитых «Гераней» всё чаще обнаруживают одновременно видеокамеры, систему прямого радиоуправления и модуль обработки изображений. Тестовые образцы с экспериментальной нейросетевой моделью успешно распознавали объекты энергетической инфраструктуры в реальных боевых вылетах [7].</w:t>
      </w:r>
    </w:p>
    <w:p w14:paraId="1B7289AC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Полная автономия на базе машинного зрения и нейросетевого обучения даст аппарату следующие возможности: визуальная навигация по рельефу при потере спутникового сигнала; самостоятельный выбор и удержание цели, в том числе движущейся; атака без оператора и без GPS-сигнала. РЭБ против такой конфигурации аппарата неэффективен.</w:t>
      </w:r>
    </w:p>
    <w:p w14:paraId="6DC20FF7">
      <w:pPr>
        <w:spacing w:after="120" w:line="276" w:lineRule="auto"/>
        <w:ind w:firstLine="720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Следующий шаг за индивидуальной автономией — роевое применение с межаппаратным обменом данными. Переход к этой парадигме означает смену класса угрозы: от управляемого боеприпаса к самостоятельно действующей боевой единице.</w:t>
      </w:r>
    </w:p>
    <w:p w14:paraId="3880081C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Выводы</w:t>
      </w:r>
    </w:p>
    <w:p w14:paraId="51D2247B">
      <w:pPr>
        <w:spacing w:after="6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1. «Герань-2» прошла путь от барражирующего боеприпаса с координатной ГЛОНАСС-навигацией до оператор-управляемой платформы с боевой частью до 100 кг и дальностью до 2 000 км.</w:t>
      </w:r>
    </w:p>
    <w:p w14:paraId="06BA1C1D">
      <w:pPr>
        <w:spacing w:after="6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2. Ключевыми этапами стали: внедрение 16-элементных CRP-антенн «Комета-М»; телеметрический контур на базе LTE-модемов и Raspberry Pi; переход к меш-сетям диапазона 1300-1500 МГц; интеграция терминала Starlink.</w:t>
      </w:r>
    </w:p>
    <w:p w14:paraId="7FFE836B">
      <w:pPr>
        <w:spacing w:after="6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3. Меш-связь и Starlink превратили аппарат в крупный управляемый FPV-дрон, способный поражать движущиеся цели на оперативной глубине до 2 000 км.</w:t>
      </w:r>
    </w:p>
    <w:p w14:paraId="07ABF2E0">
      <w:pPr>
        <w:spacing w:after="6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4. Вариант-перехватчик с ракетой Р-60 закрывает угрозу со стороны вертолётов и лёгких самолётов, традиционно применявшихся для борьбы с барражирующими боеприпасами.</w:t>
      </w:r>
    </w:p>
    <w:p w14:paraId="13070B08">
      <w:pPr>
        <w:spacing w:after="6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5. Интеграция модулей машинного зрения переводит аппарат в класс автономных систем, нечувствительных к воздействию РЭБ.</w:t>
      </w:r>
    </w:p>
    <w:p w14:paraId="04E416BE">
      <w:pPr>
        <w:spacing w:after="20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6. Отличительная черта всей эволюции — последовательное применение концепции COTS, обеспечивающей высокий темп модернизации при сохранении доступной серийной стоимости.</w:t>
      </w:r>
    </w:p>
    <w:p w14:paraId="7B8D775B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Список литературы</w:t>
      </w:r>
    </w:p>
    <w:p w14:paraId="71693363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1. Удивительный мир. Как дрон-камикадзе «Герань-2» находит цель и разносит важные объекты [Электронный ресурс]. — URL: https://www.youtube.com/watch?v=FSanNeQDJgc (дата обращения: 20.03.2026).</w:t>
      </w:r>
    </w:p>
    <w:p w14:paraId="263425E3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2. Удивительный мир. Почему «Герань-2» сейчас — это аналог танка Т-34 времён ВОВ [Электронный ресурс]. — URL: https://www.youtube.com/watch?v=bev77yh4X88 (дата обращения: 20.03.2026).</w:t>
      </w:r>
    </w:p>
    <w:p w14:paraId="15D552B4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3. Streltsov A. Commercial off-the-shelf components in military unmanned systems: a cost-efficiency analysis // Journal of Defence Technology. — 2023. — Vol. 19, № 4. — P. 112-120.</w:t>
      </w:r>
    </w:p>
    <w:p w14:paraId="3E5C50B7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4. Удивительный мир. Как из «Герань-2» сделали огромный FPV-дрон со 100-кг боевой частью [Электронный ресурс]. — URL: https://www.youtube.com/watch?v=cTTjMjxuPrg (дата обращения: 20.03.2026).</w:t>
      </w:r>
    </w:p>
    <w:p w14:paraId="5DC68351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5. Ponomarenko M. Starlink terminals found in downed Shahed drones // Defense Express. — 2024. — № 9. — URL: https://defence-ua.com (дата обращения: 20.03.2026).</w:t>
      </w:r>
    </w:p>
    <w:p w14:paraId="2BF2CF79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6. Barrie D., Bronk J. Air-to-air missiles on loitering munitions: tactical implications // RUSI Journal. — 2025. — Vol. 170, № 1. — P. 44-52.</w:t>
      </w:r>
    </w:p>
    <w:p w14:paraId="3B608B74">
      <w:pPr>
        <w:spacing w:after="24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7. Golovchenko Y. Machine vision integration in kamikaze UAVs: field observations // Unmanned Systems. — 2025. — Vol. 13, № 2. — P. 88-97.</w:t>
      </w:r>
    </w:p>
    <w:p w14:paraId="4818C1BC">
      <w:pPr>
        <w:spacing w:before="240" w:after="120" w:line="276" w:lineRule="auto"/>
        <w:jc w:val="left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References</w:t>
      </w:r>
    </w:p>
    <w:p w14:paraId="20B09598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1. Udivitelnyj mir [Amazing World]. Kak dron-kamikadze «Geran'-2» nakhodit tsel' i raznosit vazhnye ob"ekty [How the Geran-2 kamikaze drone finds targets and destroys key objects]. URL: https://www.youtube.com/watch?v=FSanNeQDJgc (accessed 20.03.2026).</w:t>
      </w:r>
    </w:p>
    <w:p w14:paraId="26D1DC11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2. Udivitelnyj mir [Amazing World]. Pochemu «Geran'-2» sejchas — eto analog tanka T-34 vremen VOV [Why Geran-2 is now the T-34 of modern warfare]. URL: https://www.youtube.com/watch?v=bev77yh4X88 (accessed 20.03.2026).</w:t>
      </w:r>
    </w:p>
    <w:p w14:paraId="44890C6D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3. Streltsov A. Commercial off-the-shelf components in military unmanned systems: a cost-efficiency analysis. Journal of Defence Technology, 2023, vol. 19, no. 4, pp. 112-120.</w:t>
      </w:r>
    </w:p>
    <w:p w14:paraId="5C321D19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4. Udivitelnyj mir [Amazing World]. Kak iz «Geran'-2» sdelali ogromnyj FPV-dron so 100-kg boevoj chast'yu [How Geran-2 was turned into a massive FPV drone with a 100-kg warhead]. URL: https://www.youtube.com/watch?v=cTTjMjxuPrg (accessed 20.03.2026).</w:t>
      </w:r>
    </w:p>
    <w:p w14:paraId="5373CC07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5. Ponomarenko M. Starlink terminals found in downed Shahed drones. Defense Express, 2024, no. 9. URL: https://defence-ua.com (accessed 20.03.2026).</w:t>
      </w:r>
    </w:p>
    <w:p w14:paraId="26653D7C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6. Barrie D., Bronk J. Air-to-air missiles on loitering munitions: tactical implications. RUSI Journal, 2025, vol. 170, no. 1, pp. 44-52.</w:t>
      </w:r>
    </w:p>
    <w:p w14:paraId="7C9AF04F">
      <w:pPr>
        <w:spacing w:after="80" w:line="276" w:lineRule="auto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7. Golovchenko Y. Machine vision integration in kamikaze UAVs: field observations. Unmanned Systems, 2025, vol. 13, no. 2, pp. 88-97.</w:t>
      </w:r>
    </w:p>
    <w:sectPr>
      <w:pgSz w:w="11906" w:h="16838"/>
      <w:pgMar w:top="1440" w:right="144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isplayBackgroundShape w:val="1"/>
  <w:documentProtection w:enforcement="0"/>
  <w:compat>
    <w:compatSetting w:name="compatibilityMode" w:uri="http://schemas.microsoft.com/office/word" w:val="15"/>
  </w:compat>
  <w:rsids>
    <w:rsidRoot w:val="00000000"/>
    <w:rsid w:val="23896AD4"/>
    <w:rsid w:val="7C303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2">
    <w:name w:val="heading 1"/>
    <w:next w:val="1"/>
    <w:qFormat/>
    <w:uiPriority w:val="0"/>
    <w:rPr>
      <w:rFonts w:ascii="Times New Roman" w:hAnsi="Times New Roman" w:eastAsia="Times New Roman" w:cs="Times New Roman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Times New Roman" w:hAnsi="Times New Roman" w:eastAsia="Times New Roman" w:cs="Times New Roman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Times New Roman" w:hAnsi="Times New Roman" w:eastAsia="Times New Roman" w:cs="Times New Roman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Times New Roman" w:hAnsi="Times New Roman" w:eastAsia="Times New Roman" w:cs="Times New Roman"/>
      <w:i/>
      <w:iCs/>
      <w:color w:val="2E74B5"/>
      <w:sz w:val="24"/>
      <w:szCs w:val="24"/>
    </w:rPr>
  </w:style>
  <w:style w:type="paragraph" w:styleId="6">
    <w:name w:val="heading 5"/>
    <w:next w:val="1"/>
    <w:qFormat/>
    <w:uiPriority w:val="0"/>
    <w:rPr>
      <w:rFonts w:ascii="Times New Roman" w:hAnsi="Times New Roman" w:eastAsia="Times New Roman" w:cs="Times New Roman"/>
      <w:color w:val="2E74B5"/>
      <w:sz w:val="24"/>
      <w:szCs w:val="24"/>
    </w:rPr>
  </w:style>
  <w:style w:type="paragraph" w:styleId="7">
    <w:name w:val="heading 6"/>
    <w:next w:val="1"/>
    <w:qFormat/>
    <w:uiPriority w:val="0"/>
    <w:rPr>
      <w:rFonts w:ascii="Times New Roman" w:hAnsi="Times New Roman" w:eastAsia="Times New Roman" w:cs="Times New Roman"/>
      <w:color w:val="1F4D78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character" w:styleId="11">
    <w:name w:val="Hyperlink"/>
    <w:unhideWhenUsed/>
    <w:qFormat/>
    <w:uiPriority w:val="99"/>
    <w:rPr>
      <w:color w:val="0563C1"/>
      <w:u w:val="single"/>
    </w:rPr>
  </w:style>
  <w:style w:type="paragraph" w:styleId="12">
    <w:name w:val="footnote text"/>
    <w:link w:val="15"/>
    <w:semiHidden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3">
    <w:name w:val="Title"/>
    <w:qFormat/>
    <w:uiPriority w:val="0"/>
    <w:rPr>
      <w:rFonts w:ascii="Times New Roman" w:hAnsi="Times New Roman" w:eastAsia="Times New Roman" w:cs="Times New Roman"/>
      <w:sz w:val="56"/>
      <w:szCs w:val="56"/>
    </w:rPr>
  </w:style>
  <w:style w:type="paragraph" w:styleId="14">
    <w:name w:val="List Paragraph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5">
    <w:name w:val="Footnote Text Char"/>
    <w:link w:val="12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13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2026-03-20T09:54:00Z</dcterms:created>
  <dc:creator>Un-named</dc:creator>
  <cp:lastModifiedBy>Ot</cp:lastModifiedBy>
  <dcterms:modified xsi:type="dcterms:W3CDTF">2026-03-22T18:53:45Z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8BE4AA3BBC3841728A1D3658AD0A88E9_13</vt:lpwstr>
  </property>
</Properties>
</file>