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D15" w:rsidRPr="00B00D15" w:rsidRDefault="00B00D15" w:rsidP="00B00D1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B00D15">
        <w:rPr>
          <w:rFonts w:ascii="Times New Roman" w:hAnsi="Times New Roman" w:cs="Times New Roman"/>
          <w:sz w:val="28"/>
          <w:szCs w:val="28"/>
        </w:rPr>
        <w:t>Альникова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Татьяна Юрьевна</w:t>
      </w:r>
    </w:p>
    <w:p w:rsidR="00B00D15" w:rsidRPr="00B00D15" w:rsidRDefault="00B00D15" w:rsidP="00B00D15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0D15">
        <w:rPr>
          <w:rFonts w:ascii="Times New Roman" w:hAnsi="Times New Roman" w:cs="Times New Roman"/>
          <w:sz w:val="28"/>
          <w:szCs w:val="28"/>
        </w:rPr>
        <w:t>Магистрант ФГБОУ ВО «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ЮУрГГПУ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>»,</w:t>
      </w:r>
    </w:p>
    <w:p w:rsidR="00B00D15" w:rsidRDefault="00B00D15" w:rsidP="00B00D1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ФАНДРАЙЗИНГ </w:t>
      </w:r>
      <w:r w:rsidRPr="00B00D15">
        <w:rPr>
          <w:rFonts w:ascii="Times New Roman" w:hAnsi="Times New Roman" w:cs="Times New Roman"/>
          <w:sz w:val="28"/>
          <w:szCs w:val="28"/>
        </w:rPr>
        <w:t xml:space="preserve">3.0 </w:t>
      </w:r>
      <w:r>
        <w:rPr>
          <w:rFonts w:ascii="Times New Roman" w:hAnsi="Times New Roman" w:cs="Times New Roman"/>
          <w:sz w:val="28"/>
          <w:szCs w:val="28"/>
        </w:rPr>
        <w:t>В ОБРАЗОВАНИИ</w:t>
      </w:r>
    </w:p>
    <w:p w:rsidR="000D6402" w:rsidRPr="00B00D15" w:rsidRDefault="000D6402" w:rsidP="00B00D1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00D15" w:rsidRPr="00B00D15" w:rsidRDefault="00B00D15" w:rsidP="00B00D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0D15">
        <w:rPr>
          <w:rFonts w:ascii="Times New Roman" w:hAnsi="Times New Roman" w:cs="Times New Roman"/>
          <w:sz w:val="28"/>
          <w:szCs w:val="28"/>
        </w:rPr>
        <w:t xml:space="preserve">Аннотация. </w:t>
      </w:r>
      <w:r w:rsidR="00236722" w:rsidRPr="00236722">
        <w:rPr>
          <w:rFonts w:ascii="Times New Roman" w:hAnsi="Times New Roman" w:cs="Times New Roman"/>
          <w:sz w:val="28"/>
          <w:szCs w:val="28"/>
        </w:rPr>
        <w:t xml:space="preserve">В статье рассматривается концепция </w:t>
      </w:r>
      <w:proofErr w:type="spellStart"/>
      <w:r w:rsidR="00236722" w:rsidRPr="00236722">
        <w:rPr>
          <w:rFonts w:ascii="Times New Roman" w:hAnsi="Times New Roman" w:cs="Times New Roman"/>
          <w:sz w:val="28"/>
          <w:szCs w:val="28"/>
        </w:rPr>
        <w:t>фандрайзинга</w:t>
      </w:r>
      <w:proofErr w:type="spellEnd"/>
      <w:r w:rsidR="00236722" w:rsidRPr="00236722">
        <w:rPr>
          <w:rFonts w:ascii="Times New Roman" w:hAnsi="Times New Roman" w:cs="Times New Roman"/>
          <w:sz w:val="28"/>
          <w:szCs w:val="28"/>
        </w:rPr>
        <w:t xml:space="preserve"> 3.0 как комплексной антикризисной стратегии для образовательных учреждений, объединяющей </w:t>
      </w:r>
      <w:proofErr w:type="spellStart"/>
      <w:r w:rsidR="00236722" w:rsidRPr="00236722">
        <w:rPr>
          <w:rFonts w:ascii="Times New Roman" w:hAnsi="Times New Roman" w:cs="Times New Roman"/>
          <w:sz w:val="28"/>
          <w:szCs w:val="28"/>
        </w:rPr>
        <w:t>краудфандинг</w:t>
      </w:r>
      <w:proofErr w:type="spellEnd"/>
      <w:r w:rsidR="00236722" w:rsidRPr="002367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36722" w:rsidRPr="00236722">
        <w:rPr>
          <w:rFonts w:ascii="Times New Roman" w:hAnsi="Times New Roman" w:cs="Times New Roman"/>
          <w:sz w:val="28"/>
          <w:szCs w:val="28"/>
        </w:rPr>
        <w:t>эндаументы</w:t>
      </w:r>
      <w:proofErr w:type="spellEnd"/>
      <w:r w:rsidR="00236722" w:rsidRPr="00236722">
        <w:rPr>
          <w:rFonts w:ascii="Times New Roman" w:hAnsi="Times New Roman" w:cs="Times New Roman"/>
          <w:sz w:val="28"/>
          <w:szCs w:val="28"/>
        </w:rPr>
        <w:t xml:space="preserve"> и партнерство с бизнесом. На основе актуальной статистики и конкретных кейсов (включая опыт школ Непала, НИТУ «МИСИС» и британского фонда </w:t>
      </w:r>
      <w:proofErr w:type="spellStart"/>
      <w:r w:rsidR="00236722" w:rsidRPr="00236722">
        <w:rPr>
          <w:rFonts w:ascii="Times New Roman" w:hAnsi="Times New Roman" w:cs="Times New Roman"/>
          <w:sz w:val="28"/>
          <w:szCs w:val="28"/>
        </w:rPr>
        <w:t>Impetus</w:t>
      </w:r>
      <w:proofErr w:type="spellEnd"/>
      <w:r w:rsidR="00236722" w:rsidRPr="00236722">
        <w:rPr>
          <w:rFonts w:ascii="Times New Roman" w:hAnsi="Times New Roman" w:cs="Times New Roman"/>
          <w:sz w:val="28"/>
          <w:szCs w:val="28"/>
        </w:rPr>
        <w:t>) доказывается, что переход от спонсорства к долгосрочным инвестиционным моделям обеспечивает финансовую устойчивость и независимость учебных заведений в условиях экономической нестабильности.</w:t>
      </w:r>
    </w:p>
    <w:p w:rsidR="00B00D15" w:rsidRDefault="00B00D15" w:rsidP="00B00D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0D15">
        <w:rPr>
          <w:rFonts w:ascii="Times New Roman" w:hAnsi="Times New Roman" w:cs="Times New Roman"/>
          <w:sz w:val="28"/>
          <w:szCs w:val="28"/>
        </w:rPr>
        <w:t xml:space="preserve">Ключевые слова: </w:t>
      </w:r>
      <w:proofErr w:type="spellStart"/>
      <w:r w:rsidR="009102F6" w:rsidRPr="009102F6">
        <w:rPr>
          <w:rFonts w:ascii="Times New Roman" w:hAnsi="Times New Roman" w:cs="Times New Roman"/>
          <w:sz w:val="28"/>
          <w:szCs w:val="28"/>
        </w:rPr>
        <w:t>фандрайзинг</w:t>
      </w:r>
      <w:proofErr w:type="spellEnd"/>
      <w:r w:rsidR="009102F6" w:rsidRPr="009102F6">
        <w:rPr>
          <w:rFonts w:ascii="Times New Roman" w:hAnsi="Times New Roman" w:cs="Times New Roman"/>
          <w:sz w:val="28"/>
          <w:szCs w:val="28"/>
        </w:rPr>
        <w:t xml:space="preserve"> 3.0, </w:t>
      </w:r>
      <w:proofErr w:type="spellStart"/>
      <w:r w:rsidR="009102F6" w:rsidRPr="009102F6">
        <w:rPr>
          <w:rFonts w:ascii="Times New Roman" w:hAnsi="Times New Roman" w:cs="Times New Roman"/>
          <w:sz w:val="28"/>
          <w:szCs w:val="28"/>
        </w:rPr>
        <w:t>краудфандинг</w:t>
      </w:r>
      <w:proofErr w:type="spellEnd"/>
      <w:r w:rsidR="009102F6" w:rsidRPr="009102F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102F6" w:rsidRPr="009102F6">
        <w:rPr>
          <w:rFonts w:ascii="Times New Roman" w:hAnsi="Times New Roman" w:cs="Times New Roman"/>
          <w:sz w:val="28"/>
          <w:szCs w:val="28"/>
        </w:rPr>
        <w:t>эндаумент</w:t>
      </w:r>
      <w:proofErr w:type="spellEnd"/>
      <w:r w:rsidR="009102F6" w:rsidRPr="009102F6">
        <w:rPr>
          <w:rFonts w:ascii="Times New Roman" w:hAnsi="Times New Roman" w:cs="Times New Roman"/>
          <w:sz w:val="28"/>
          <w:szCs w:val="28"/>
        </w:rPr>
        <w:t>, партнерство с бизнесом, антикризисные стратегии в образовании.</w:t>
      </w:r>
    </w:p>
    <w:p w:rsidR="00B00D15" w:rsidRPr="00B00D15" w:rsidRDefault="00B00D15" w:rsidP="00B00D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00D15" w:rsidRPr="00B00D15" w:rsidRDefault="00B00D15" w:rsidP="00B00D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0D15">
        <w:rPr>
          <w:rFonts w:ascii="Times New Roman" w:hAnsi="Times New Roman" w:cs="Times New Roman"/>
          <w:sz w:val="28"/>
          <w:szCs w:val="28"/>
        </w:rPr>
        <w:t>Современная система образования оказалась в ситуации структурного вызова. Сокращение государственного финансирования, нарастающая экономическая нестабильность и постоянный рост стоимости технологического оснащения учебных заведений делают традиционную мо</w:t>
      </w:r>
      <w:r w:rsidR="00C9560B">
        <w:rPr>
          <w:rFonts w:ascii="Times New Roman" w:hAnsi="Times New Roman" w:cs="Times New Roman"/>
          <w:sz w:val="28"/>
          <w:szCs w:val="28"/>
        </w:rPr>
        <w:t xml:space="preserve">дель «государство распределяет </w:t>
      </w:r>
      <w:r w:rsidR="00C9560B" w:rsidRPr="00C9560B">
        <w:rPr>
          <w:rFonts w:ascii="Times New Roman" w:hAnsi="Times New Roman" w:cs="Times New Roman"/>
          <w:sz w:val="28"/>
          <w:szCs w:val="28"/>
        </w:rPr>
        <w:sym w:font="Symbol" w:char="F02D"/>
      </w:r>
      <w:r w:rsidRPr="00B00D15">
        <w:rPr>
          <w:rFonts w:ascii="Times New Roman" w:hAnsi="Times New Roman" w:cs="Times New Roman"/>
          <w:sz w:val="28"/>
          <w:szCs w:val="28"/>
        </w:rPr>
        <w:t xml:space="preserve"> учреждение потребляет» полностью несостоятельной. Как показывает анализ последних пяти лет, образовательные учреждения, сохраняющие исключительно бюджетную логику, систематически проигрывают в качестве инфраструктуры, уровне преподавательского состава и привлекательности для абитуриентов. В ответ на этот выз</w:t>
      </w:r>
      <w:r w:rsidR="00C9560B">
        <w:rPr>
          <w:rFonts w:ascii="Times New Roman" w:hAnsi="Times New Roman" w:cs="Times New Roman"/>
          <w:sz w:val="28"/>
          <w:szCs w:val="28"/>
        </w:rPr>
        <w:t xml:space="preserve">ов формируется новая парадигма </w:t>
      </w:r>
      <w:r w:rsidR="00C9560B" w:rsidRPr="00C9560B">
        <w:rPr>
          <w:rFonts w:ascii="Times New Roman" w:hAnsi="Times New Roman" w:cs="Times New Roman"/>
          <w:sz w:val="28"/>
          <w:szCs w:val="28"/>
        </w:rPr>
        <w:sym w:font="Symbol" w:char="F02D"/>
      </w:r>
      <w:r w:rsidRPr="00B0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фандрайзинг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3.0, представляющая собой гибридную стратегию, объединяющую технологии коллективного финансирования, долгосрочные целевые капиталы (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эндаументы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) и глубокое стратегическое партнерство с бизнесом. В отличие от более ранних форм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фандрайзинга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, опиравшихся на эпизодические спонсорские взносы, новая модель встраивает финансирование образования в </w:t>
      </w:r>
      <w:r w:rsidRPr="00B00D15">
        <w:rPr>
          <w:rFonts w:ascii="Times New Roman" w:hAnsi="Times New Roman" w:cs="Times New Roman"/>
          <w:sz w:val="28"/>
          <w:szCs w:val="28"/>
        </w:rPr>
        <w:lastRenderedPageBreak/>
        <w:t>повседневные экономические практики всех заинтересованных сторон: родителей, выпускников, локального бизнеса и крупных корпораций.</w:t>
      </w:r>
    </w:p>
    <w:p w:rsidR="00B00D15" w:rsidRPr="00B00D15" w:rsidRDefault="00B00D15" w:rsidP="00B00D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0D15">
        <w:rPr>
          <w:rFonts w:ascii="Times New Roman" w:hAnsi="Times New Roman" w:cs="Times New Roman"/>
          <w:sz w:val="28"/>
          <w:szCs w:val="28"/>
        </w:rPr>
        <w:t xml:space="preserve">Одним из наиболее динамичных и демократичных инструментов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фандрайзинга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3.0 выступает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краудфандинг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. Его ключевое преимущество в антикризисном контексте заключается в способности решать конкретные тактические задачи за короткое время без посредников и бюрократических барьеров. Родители, в условиях падения реальных доходов, психологически готовы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софинансировать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улучшения, если ви</w:t>
      </w:r>
      <w:r w:rsidR="00C9560B">
        <w:rPr>
          <w:rFonts w:ascii="Times New Roman" w:hAnsi="Times New Roman" w:cs="Times New Roman"/>
          <w:sz w:val="28"/>
          <w:szCs w:val="28"/>
        </w:rPr>
        <w:t xml:space="preserve">дят прозрачную цепочку «деньги </w:t>
      </w:r>
      <w:r w:rsidR="00C9560B" w:rsidRPr="00C9560B">
        <w:rPr>
          <w:rFonts w:ascii="Times New Roman" w:hAnsi="Times New Roman" w:cs="Times New Roman"/>
          <w:sz w:val="28"/>
          <w:szCs w:val="28"/>
        </w:rPr>
        <w:sym w:font="Symbol" w:char="F02D"/>
      </w:r>
      <w:r w:rsidRPr="00B00D15">
        <w:rPr>
          <w:rFonts w:ascii="Times New Roman" w:hAnsi="Times New Roman" w:cs="Times New Roman"/>
          <w:sz w:val="28"/>
          <w:szCs w:val="28"/>
        </w:rPr>
        <w:t xml:space="preserve"> результат». Рынок подтверждает этот запрос: по итогам 2025 года совокупный объем проектов, профинансированных через механизмы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краудфандинга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краудинвестинга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в России, достиг 24 млрд рублей, а число частных инвесторов, вовлеченных в эти процессы, превысило 172 тысячи человек. В сегменте школьного образования наиболее показателен опыт американской платформы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Boost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My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School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>, которая привлекла 10 млн долларов прямых инвестиций, а обслуживаемые ею школы смогли аккумулировать более 100 млн долларов от частных доноров. При этом уровень удержания клиент</w:t>
      </w:r>
      <w:r w:rsidR="00C9560B">
        <w:rPr>
          <w:rFonts w:ascii="Times New Roman" w:hAnsi="Times New Roman" w:cs="Times New Roman"/>
          <w:sz w:val="28"/>
          <w:szCs w:val="28"/>
        </w:rPr>
        <w:t>ов (</w:t>
      </w:r>
      <w:proofErr w:type="spellStart"/>
      <w:r w:rsidR="00C9560B">
        <w:rPr>
          <w:rFonts w:ascii="Times New Roman" w:hAnsi="Times New Roman" w:cs="Times New Roman"/>
          <w:sz w:val="28"/>
          <w:szCs w:val="28"/>
        </w:rPr>
        <w:t>retention</w:t>
      </w:r>
      <w:proofErr w:type="spellEnd"/>
      <w:r w:rsidR="00C956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560B">
        <w:rPr>
          <w:rFonts w:ascii="Times New Roman" w:hAnsi="Times New Roman" w:cs="Times New Roman"/>
          <w:sz w:val="28"/>
          <w:szCs w:val="28"/>
        </w:rPr>
        <w:t>rate</w:t>
      </w:r>
      <w:proofErr w:type="spellEnd"/>
      <w:r w:rsidR="00C9560B">
        <w:rPr>
          <w:rFonts w:ascii="Times New Roman" w:hAnsi="Times New Roman" w:cs="Times New Roman"/>
          <w:sz w:val="28"/>
          <w:szCs w:val="28"/>
        </w:rPr>
        <w:t xml:space="preserve">) достиг 98% </w:t>
      </w:r>
      <w:r w:rsidR="00C9560B" w:rsidRPr="00C9560B">
        <w:rPr>
          <w:rFonts w:ascii="Times New Roman" w:hAnsi="Times New Roman" w:cs="Times New Roman"/>
          <w:sz w:val="28"/>
          <w:szCs w:val="28"/>
        </w:rPr>
        <w:sym w:font="Symbol" w:char="F02D"/>
      </w:r>
      <w:r w:rsidRPr="00B00D15">
        <w:rPr>
          <w:rFonts w:ascii="Times New Roman" w:hAnsi="Times New Roman" w:cs="Times New Roman"/>
          <w:sz w:val="28"/>
          <w:szCs w:val="28"/>
        </w:rPr>
        <w:t xml:space="preserve"> цифра, нетипичная даже для коммерческого сектора, что говорит о высокой лояльности пользователей и доверии к модели.</w:t>
      </w:r>
    </w:p>
    <w:p w:rsidR="00B00D15" w:rsidRPr="00B00D15" w:rsidRDefault="00B00D15" w:rsidP="00B00D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0D15">
        <w:rPr>
          <w:rFonts w:ascii="Times New Roman" w:hAnsi="Times New Roman" w:cs="Times New Roman"/>
          <w:sz w:val="28"/>
          <w:szCs w:val="28"/>
        </w:rPr>
        <w:t xml:space="preserve">Конкретный пример решения операционных проблем через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краудфандинг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дает кейс школы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Kojak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в непальском регионе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Ролпа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. Столкнувшись с критическим состоянием стен классных комнат, которые были ветхими, пыльными и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демотивирующими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учеников, администрация запустила сбор средств на платформе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JustGiving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>. Цель составлял</w:t>
      </w:r>
      <w:r w:rsidR="00C9560B">
        <w:rPr>
          <w:rFonts w:ascii="Times New Roman" w:hAnsi="Times New Roman" w:cs="Times New Roman"/>
          <w:sz w:val="28"/>
          <w:szCs w:val="28"/>
        </w:rPr>
        <w:t xml:space="preserve">а всего 2100 фунтов стерлингов </w:t>
      </w:r>
      <w:r w:rsidR="00C9560B" w:rsidRPr="00C9560B">
        <w:rPr>
          <w:rFonts w:ascii="Times New Roman" w:hAnsi="Times New Roman" w:cs="Times New Roman"/>
          <w:sz w:val="28"/>
          <w:szCs w:val="28"/>
        </w:rPr>
        <w:sym w:font="Symbol" w:char="F02D"/>
      </w:r>
      <w:r w:rsidRPr="00B00D15">
        <w:rPr>
          <w:rFonts w:ascii="Times New Roman" w:hAnsi="Times New Roman" w:cs="Times New Roman"/>
          <w:sz w:val="28"/>
          <w:szCs w:val="28"/>
        </w:rPr>
        <w:t xml:space="preserve"> сумма, недоступная из местного бюджета, но вполне достижимая через микро-пожертвования. Механизм успеха строился не на слепой просьбе о помощи, а на вовлечении выпускников и международного сообщества, связанного со школой через образовательную программу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Amicus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. В результате проект не только решил инфраструктурную задачу, но и создал эффект вдохновляющей среды, что сразу отразилось на посещаемости. Этот </w:t>
      </w:r>
      <w:r w:rsidRPr="00B00D15">
        <w:rPr>
          <w:rFonts w:ascii="Times New Roman" w:hAnsi="Times New Roman" w:cs="Times New Roman"/>
          <w:sz w:val="28"/>
          <w:szCs w:val="28"/>
        </w:rPr>
        <w:lastRenderedPageBreak/>
        <w:t xml:space="preserve">кейс доказывает универсальное правило: успешный образовательный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краудфандинг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требует не столько крупных сумм, сколько эмоционально понятной цели («купить интерактивную панель», «отремонтировать спортзал») и тотальной прозрачности.</w:t>
      </w:r>
    </w:p>
    <w:p w:rsidR="00B00D15" w:rsidRPr="00B00D15" w:rsidRDefault="00B00D15" w:rsidP="00B00D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0D15">
        <w:rPr>
          <w:rFonts w:ascii="Times New Roman" w:hAnsi="Times New Roman" w:cs="Times New Roman"/>
          <w:sz w:val="28"/>
          <w:szCs w:val="28"/>
        </w:rPr>
        <w:t xml:space="preserve">Однако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краудфандинг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решает проблему «здесь и сейчас», но не гарантирует системной устойчивости. В отличие от него,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эндаумент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(целевой капитал) выступает инструментом долгосрочного планирования. Это финансовая «подушка безопасности», которая, будучи переданной в доверительное управление профессиональной компании, генерирует ежегодный доход (обычно 5–7% от капитала), позволяя университету или школе годами финансировать стипендии, исследовательские гранты и инфраструктурные проекты, не завися от бюджетных циклов и политической конъюнктуры. В России культура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эндаументов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находится на этапе ускоренного формирования. Показательная стратегия принадлежит НИТУ «МИСИС», который поставил цель увеличить объем своего целевого капитала до 2 млрд рублей к 2030 году.</w:t>
      </w:r>
    </w:p>
    <w:p w:rsidR="00B00D15" w:rsidRPr="00B00D15" w:rsidRDefault="00B00D15" w:rsidP="00B00D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0D15">
        <w:rPr>
          <w:rFonts w:ascii="Times New Roman" w:hAnsi="Times New Roman" w:cs="Times New Roman"/>
          <w:sz w:val="28"/>
          <w:szCs w:val="28"/>
        </w:rPr>
        <w:t>Показателен способ, которым этот университет решает кла</w:t>
      </w:r>
      <w:r w:rsidR="00C9560B">
        <w:rPr>
          <w:rFonts w:ascii="Times New Roman" w:hAnsi="Times New Roman" w:cs="Times New Roman"/>
          <w:sz w:val="28"/>
          <w:szCs w:val="28"/>
        </w:rPr>
        <w:t xml:space="preserve">ссическую проблему </w:t>
      </w:r>
      <w:proofErr w:type="spellStart"/>
      <w:r w:rsidR="00C9560B">
        <w:rPr>
          <w:rFonts w:ascii="Times New Roman" w:hAnsi="Times New Roman" w:cs="Times New Roman"/>
          <w:sz w:val="28"/>
          <w:szCs w:val="28"/>
        </w:rPr>
        <w:t>эндаументов</w:t>
      </w:r>
      <w:proofErr w:type="spellEnd"/>
      <w:r w:rsidR="00C9560B">
        <w:rPr>
          <w:rFonts w:ascii="Times New Roman" w:hAnsi="Times New Roman" w:cs="Times New Roman"/>
          <w:sz w:val="28"/>
          <w:szCs w:val="28"/>
        </w:rPr>
        <w:t xml:space="preserve"> </w:t>
      </w:r>
      <w:r w:rsidR="00C9560B" w:rsidRPr="00C9560B">
        <w:rPr>
          <w:rFonts w:ascii="Times New Roman" w:hAnsi="Times New Roman" w:cs="Times New Roman"/>
          <w:sz w:val="28"/>
          <w:szCs w:val="28"/>
        </w:rPr>
        <w:sym w:font="Symbol" w:char="F02D"/>
      </w:r>
      <w:r w:rsidRPr="00B00D15">
        <w:rPr>
          <w:rFonts w:ascii="Times New Roman" w:hAnsi="Times New Roman" w:cs="Times New Roman"/>
          <w:sz w:val="28"/>
          <w:szCs w:val="28"/>
        </w:rPr>
        <w:t xml:space="preserve"> их обезличенность и оторванность от реальных потребностей доноров. НИТУ МИСИС строит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эндаумент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как продуктовую линейку под конкретные задачи бизнеса. Партнерство с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Росатомом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принесло в фонд 30 млн рублей, направленных на конкурсы научных проектов в интересах атомной отрасли. Соглашение с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Металлоинвестом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обеспечило 32 млн рублей на именные стипендии для будущих инженеров. В итоге к концу 2025 года более 2000 студентов уже получили прямую поддержку из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эндаумента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. Бизнес видит здесь не благотворительность, а экономически рациональный механизм отбора талантов и решения собственных R&amp;D-задач. В международной практике аналогичную логику развивает модель «пирамиды доноров», представленная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Сьюзан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Холтер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из Университета Миннесоты на V Международном форуме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эндаументов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в Астане: студент, получивший сегодня грант из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эндаумента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, через 15–20 лет с высокой вероятностью сам станет </w:t>
      </w:r>
      <w:r w:rsidRPr="00B00D15">
        <w:rPr>
          <w:rFonts w:ascii="Times New Roman" w:hAnsi="Times New Roman" w:cs="Times New Roman"/>
          <w:sz w:val="28"/>
          <w:szCs w:val="28"/>
        </w:rPr>
        <w:lastRenderedPageBreak/>
        <w:t>крупным донором, если система выстроит с ним долгосрочные отношения отчетности и признания.</w:t>
      </w:r>
    </w:p>
    <w:p w:rsidR="00B00D15" w:rsidRPr="00B00D15" w:rsidRDefault="00B00D15" w:rsidP="00B00D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0D15">
        <w:rPr>
          <w:rFonts w:ascii="Times New Roman" w:hAnsi="Times New Roman" w:cs="Times New Roman"/>
          <w:sz w:val="28"/>
          <w:szCs w:val="28"/>
        </w:rPr>
        <w:t xml:space="preserve">Однако ни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краудфандинг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, ни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эндаументы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не работают в полную силу без третье</w:t>
      </w:r>
      <w:r w:rsidR="00C9560B">
        <w:rPr>
          <w:rFonts w:ascii="Times New Roman" w:hAnsi="Times New Roman" w:cs="Times New Roman"/>
          <w:sz w:val="28"/>
          <w:szCs w:val="28"/>
        </w:rPr>
        <w:t xml:space="preserve">го компонента </w:t>
      </w:r>
      <w:proofErr w:type="spellStart"/>
      <w:r w:rsidR="00C9560B">
        <w:rPr>
          <w:rFonts w:ascii="Times New Roman" w:hAnsi="Times New Roman" w:cs="Times New Roman"/>
          <w:sz w:val="28"/>
          <w:szCs w:val="28"/>
        </w:rPr>
        <w:t>фандрайзинга</w:t>
      </w:r>
      <w:proofErr w:type="spellEnd"/>
      <w:r w:rsidR="00C9560B">
        <w:rPr>
          <w:rFonts w:ascii="Times New Roman" w:hAnsi="Times New Roman" w:cs="Times New Roman"/>
          <w:sz w:val="28"/>
          <w:szCs w:val="28"/>
        </w:rPr>
        <w:t xml:space="preserve"> 3.0 </w:t>
      </w:r>
      <w:r w:rsidR="00C9560B" w:rsidRPr="00C9560B">
        <w:rPr>
          <w:rFonts w:ascii="Times New Roman" w:hAnsi="Times New Roman" w:cs="Times New Roman"/>
          <w:sz w:val="28"/>
          <w:szCs w:val="28"/>
        </w:rPr>
        <w:sym w:font="Symbol" w:char="F02D"/>
      </w:r>
      <w:r w:rsidRPr="00B00D15">
        <w:rPr>
          <w:rFonts w:ascii="Times New Roman" w:hAnsi="Times New Roman" w:cs="Times New Roman"/>
          <w:sz w:val="28"/>
          <w:szCs w:val="28"/>
        </w:rPr>
        <w:t xml:space="preserve"> стратегического партнерства с бизнесом, переходящего рамки спонсорского логотипа на доске. Кризис резко повысил требования корпораций к измеримому возврату на инвестиции (ROI). Поэтому бизнес сегодня готов вкладываться в образование только в том случае, если получает взамен конкретные кадровые или технологические решения. Рынок образовательных франшиз, например, демонстрирует устойчивый рост в России с рентабельностью 20–25%, что привлекает структурированный капитал. На выставке BUYBRAND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Expo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2025 российские школы и центры дополнительного образования (в частности, сеть HARISMA) активно </w:t>
      </w:r>
      <w:r w:rsidR="00C9560B">
        <w:rPr>
          <w:rFonts w:ascii="Times New Roman" w:hAnsi="Times New Roman" w:cs="Times New Roman"/>
          <w:sz w:val="28"/>
          <w:szCs w:val="28"/>
        </w:rPr>
        <w:t xml:space="preserve">продавали франшизы в Казахстан </w:t>
      </w:r>
      <w:r w:rsidR="00C9560B" w:rsidRPr="00C9560B">
        <w:rPr>
          <w:rFonts w:ascii="Times New Roman" w:hAnsi="Times New Roman" w:cs="Times New Roman"/>
          <w:sz w:val="28"/>
          <w:szCs w:val="28"/>
        </w:rPr>
        <w:sym w:font="Symbol" w:char="F02D"/>
      </w:r>
      <w:r w:rsidRPr="00B00D15">
        <w:rPr>
          <w:rFonts w:ascii="Times New Roman" w:hAnsi="Times New Roman" w:cs="Times New Roman"/>
          <w:sz w:val="28"/>
          <w:szCs w:val="28"/>
        </w:rPr>
        <w:t xml:space="preserve"> это свидетельствует о том, что образовательная методика становится товаром, способным генерировать экспортную выручку.</w:t>
      </w:r>
    </w:p>
    <w:p w:rsidR="00B00D15" w:rsidRPr="00B00D15" w:rsidRDefault="00B00D15" w:rsidP="00B00D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0D15">
        <w:rPr>
          <w:rFonts w:ascii="Times New Roman" w:hAnsi="Times New Roman" w:cs="Times New Roman"/>
          <w:sz w:val="28"/>
          <w:szCs w:val="28"/>
        </w:rPr>
        <w:t xml:space="preserve">Наиболее глубокий пример долгосрочного бизнес-партнерства в образовании демонстрирует британский тандем фонда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Impetus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и благотворительной организации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IntoUniversity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>, который длится уже 17 лет.</w:t>
      </w:r>
      <w:r w:rsidR="00C9560B">
        <w:rPr>
          <w:rFonts w:ascii="Times New Roman" w:hAnsi="Times New Roman" w:cs="Times New Roman"/>
          <w:sz w:val="28"/>
          <w:szCs w:val="28"/>
        </w:rPr>
        <w:t xml:space="preserve"> Проблема, которую они решали, </w:t>
      </w:r>
      <w:r w:rsidR="00C9560B" w:rsidRPr="00C9560B">
        <w:rPr>
          <w:rFonts w:ascii="Times New Roman" w:hAnsi="Times New Roman" w:cs="Times New Roman"/>
          <w:sz w:val="28"/>
          <w:szCs w:val="28"/>
        </w:rPr>
        <w:sym w:font="Symbol" w:char="F02D"/>
      </w:r>
      <w:r w:rsidRPr="00B00D15">
        <w:rPr>
          <w:rFonts w:ascii="Times New Roman" w:hAnsi="Times New Roman" w:cs="Times New Roman"/>
          <w:sz w:val="28"/>
          <w:szCs w:val="28"/>
        </w:rPr>
        <w:t xml:space="preserve"> критический разрыв в успеваемости между детьми из бедных и обеспеченных семей, при котором лишь 29% детей из малообеспеченных слоев поступали в университет.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Impetus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предоставил не только финансирование, но и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pro-bono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(бесплатные) юридические и управленческие консультации через свою сеть экспертов. В результате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IntoUniversity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выросла с охвата 850 детей в год до 60 000, а доля ее подопечных, поступающих в вузы, достигла 58%</w:t>
      </w:r>
      <w:r w:rsidR="00C9560B">
        <w:rPr>
          <w:rFonts w:ascii="Times New Roman" w:hAnsi="Times New Roman" w:cs="Times New Roman"/>
          <w:sz w:val="28"/>
          <w:szCs w:val="28"/>
        </w:rPr>
        <w:t xml:space="preserve"> </w:t>
      </w:r>
      <w:r w:rsidR="00C9560B" w:rsidRPr="00C9560B">
        <w:rPr>
          <w:rFonts w:ascii="Times New Roman" w:hAnsi="Times New Roman" w:cs="Times New Roman"/>
          <w:sz w:val="28"/>
          <w:szCs w:val="28"/>
        </w:rPr>
        <w:sym w:font="Symbol" w:char="F02D"/>
      </w:r>
      <w:r w:rsidRPr="00B00D15">
        <w:rPr>
          <w:rFonts w:ascii="Times New Roman" w:hAnsi="Times New Roman" w:cs="Times New Roman"/>
          <w:sz w:val="28"/>
          <w:szCs w:val="28"/>
        </w:rPr>
        <w:t xml:space="preserve"> почти вдвое выше среднего показателя для бедных слоев населения. Этот кейс иллюстрирует идеал партнерства 3.0: бизнес (через фонд) дает не деньги на латание дыр, а масштабируемую управленческую и финансовую шину, способную перестроить целую экосистему.</w:t>
      </w:r>
    </w:p>
    <w:p w:rsidR="00B00D15" w:rsidRPr="00B00D15" w:rsidRDefault="00B00D15" w:rsidP="00B00D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0D15">
        <w:rPr>
          <w:rFonts w:ascii="Times New Roman" w:hAnsi="Times New Roman" w:cs="Times New Roman"/>
          <w:sz w:val="28"/>
          <w:szCs w:val="28"/>
        </w:rPr>
        <w:lastRenderedPageBreak/>
        <w:t xml:space="preserve">Синтезируя описанные инструменты, можно утверждать, что антикризисная стратегия в образовании должна строиться как одновременное использование всех трех механизмов с распределением их по горизонтам планирования.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Краудфандинг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закрывает текущие тактические задачи: ремонт класса, покупка лабораторного оборудования, организация поездки.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Эндаумент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формирует долгосрочный фундамент, позволяя университету пережить бюджетные сокращения без паники и потери ключевых программ. Бизнес-партнерство связывает образование с реальным рынком труда, превращая образовательную организацию из просителя в поставщика решений.</w:t>
      </w:r>
    </w:p>
    <w:p w:rsidR="00B00D15" w:rsidRPr="00B00D15" w:rsidRDefault="00B00D15" w:rsidP="00B00D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0D15">
        <w:rPr>
          <w:rFonts w:ascii="Times New Roman" w:hAnsi="Times New Roman" w:cs="Times New Roman"/>
          <w:sz w:val="28"/>
          <w:szCs w:val="28"/>
        </w:rPr>
        <w:t xml:space="preserve">Практическая дорожная карта для учебного заведения, начинающего переход к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фандрайзингу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3.0, включает три</w:t>
      </w:r>
      <w:r w:rsidR="00C9560B">
        <w:rPr>
          <w:rFonts w:ascii="Times New Roman" w:hAnsi="Times New Roman" w:cs="Times New Roman"/>
          <w:sz w:val="28"/>
          <w:szCs w:val="28"/>
        </w:rPr>
        <w:t xml:space="preserve"> последовательных шага. Первый </w:t>
      </w:r>
      <w:r w:rsidR="00C9560B" w:rsidRPr="00C9560B">
        <w:rPr>
          <w:rFonts w:ascii="Times New Roman" w:hAnsi="Times New Roman" w:cs="Times New Roman"/>
          <w:sz w:val="28"/>
          <w:szCs w:val="28"/>
        </w:rPr>
        <w:sym w:font="Symbol" w:char="F02D"/>
      </w:r>
      <w:r w:rsidRPr="00B00D15">
        <w:rPr>
          <w:rFonts w:ascii="Times New Roman" w:hAnsi="Times New Roman" w:cs="Times New Roman"/>
          <w:sz w:val="28"/>
          <w:szCs w:val="28"/>
        </w:rPr>
        <w:t xml:space="preserve"> аудит нематериальных активов: создание цифровой базы выпускников за последние 20 лет, поскольку именно они являются наиболее лояльной аудиторией для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эндаументов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и кру</w:t>
      </w:r>
      <w:r w:rsidR="00C9560B">
        <w:rPr>
          <w:rFonts w:ascii="Times New Roman" w:hAnsi="Times New Roman" w:cs="Times New Roman"/>
          <w:sz w:val="28"/>
          <w:szCs w:val="28"/>
        </w:rPr>
        <w:t xml:space="preserve">пных донорских взносов. Второй </w:t>
      </w:r>
      <w:r w:rsidR="00C9560B" w:rsidRPr="00C9560B">
        <w:rPr>
          <w:rFonts w:ascii="Times New Roman" w:hAnsi="Times New Roman" w:cs="Times New Roman"/>
          <w:sz w:val="28"/>
          <w:szCs w:val="28"/>
        </w:rPr>
        <w:sym w:font="Symbol" w:char="F02D"/>
      </w:r>
      <w:r w:rsidRPr="00B0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фандрайзинговых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процессов: опыт платформы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Boost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My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School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показывает, что перевод родительских сборов, благотворительных ярмарок и аукционов в онлайн повышает собираемост</w:t>
      </w:r>
      <w:r w:rsidR="00C9560B">
        <w:rPr>
          <w:rFonts w:ascii="Times New Roman" w:hAnsi="Times New Roman" w:cs="Times New Roman"/>
          <w:sz w:val="28"/>
          <w:szCs w:val="28"/>
        </w:rPr>
        <w:t xml:space="preserve">ь на десятки процентов. Третий </w:t>
      </w:r>
      <w:r w:rsidR="00C9560B" w:rsidRPr="00C9560B">
        <w:rPr>
          <w:rFonts w:ascii="Times New Roman" w:hAnsi="Times New Roman" w:cs="Times New Roman"/>
          <w:sz w:val="28"/>
          <w:szCs w:val="28"/>
        </w:rPr>
        <w:sym w:font="Symbol" w:char="F02D"/>
      </w:r>
      <w:r w:rsidRPr="00B00D15">
        <w:rPr>
          <w:rFonts w:ascii="Times New Roman" w:hAnsi="Times New Roman" w:cs="Times New Roman"/>
          <w:sz w:val="28"/>
          <w:szCs w:val="28"/>
        </w:rPr>
        <w:t xml:space="preserve"> смена риторики с «помогите нам» на «мы решаем вашу проблему»: для бизнеса это доступ к талантам и инновациям, для род</w:t>
      </w:r>
      <w:r w:rsidR="00C9560B">
        <w:rPr>
          <w:rFonts w:ascii="Times New Roman" w:hAnsi="Times New Roman" w:cs="Times New Roman"/>
          <w:sz w:val="28"/>
          <w:szCs w:val="28"/>
        </w:rPr>
        <w:t xml:space="preserve">ителей </w:t>
      </w:r>
      <w:r w:rsidR="00C9560B" w:rsidRPr="00C9560B">
        <w:rPr>
          <w:rFonts w:ascii="Times New Roman" w:hAnsi="Times New Roman" w:cs="Times New Roman"/>
          <w:sz w:val="28"/>
          <w:szCs w:val="28"/>
        </w:rPr>
        <w:sym w:font="Symbol" w:char="F02D"/>
      </w:r>
      <w:r w:rsidRPr="00B00D15">
        <w:rPr>
          <w:rFonts w:ascii="Times New Roman" w:hAnsi="Times New Roman" w:cs="Times New Roman"/>
          <w:sz w:val="28"/>
          <w:szCs w:val="28"/>
        </w:rPr>
        <w:t xml:space="preserve"> качественная и безопасная ср</w:t>
      </w:r>
      <w:r w:rsidR="00C9560B">
        <w:rPr>
          <w:rFonts w:ascii="Times New Roman" w:hAnsi="Times New Roman" w:cs="Times New Roman"/>
          <w:sz w:val="28"/>
          <w:szCs w:val="28"/>
        </w:rPr>
        <w:t xml:space="preserve">еда для детей, для выпускников </w:t>
      </w:r>
      <w:r w:rsidR="00C9560B" w:rsidRPr="00C9560B">
        <w:rPr>
          <w:rFonts w:ascii="Times New Roman" w:hAnsi="Times New Roman" w:cs="Times New Roman"/>
          <w:sz w:val="28"/>
          <w:szCs w:val="28"/>
        </w:rPr>
        <w:sym w:font="Symbol" w:char="F02D"/>
      </w:r>
      <w:r w:rsidRPr="00B00D15">
        <w:rPr>
          <w:rFonts w:ascii="Times New Roman" w:hAnsi="Times New Roman" w:cs="Times New Roman"/>
          <w:sz w:val="28"/>
          <w:szCs w:val="28"/>
        </w:rPr>
        <w:t xml:space="preserve"> возможность оставить след в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alma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mater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>.</w:t>
      </w:r>
    </w:p>
    <w:p w:rsidR="00B00D15" w:rsidRPr="00B00D15" w:rsidRDefault="00B00D15" w:rsidP="00B00D1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0D15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фандрайзинг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3.0 не является просто набором способов достать деньги в кризис. Это новая философия управления образовательным учреждением, при которой оно перестает быть исключительно потребителем бюджета и превращается в соавтора экономической и социальной жизни своего региона. Учреждения, которые уже сегодня системно внедряют коллективное финансирование, растят целевые капиталы и продают бизнесу образовательные сервисы, не просто выживают — они консолидируют рынок, привлекают лучшие кадры и создают устойчивое конкурентное </w:t>
      </w:r>
      <w:r w:rsidRPr="00B00D15">
        <w:rPr>
          <w:rFonts w:ascii="Times New Roman" w:hAnsi="Times New Roman" w:cs="Times New Roman"/>
          <w:sz w:val="28"/>
          <w:szCs w:val="28"/>
        </w:rPr>
        <w:lastRenderedPageBreak/>
        <w:t xml:space="preserve">преимущество. В конечном счете </w:t>
      </w:r>
      <w:proofErr w:type="spellStart"/>
      <w:r w:rsidRPr="00B00D15">
        <w:rPr>
          <w:rFonts w:ascii="Times New Roman" w:hAnsi="Times New Roman" w:cs="Times New Roman"/>
          <w:sz w:val="28"/>
          <w:szCs w:val="28"/>
        </w:rPr>
        <w:t>фандрайзинг</w:t>
      </w:r>
      <w:proofErr w:type="spellEnd"/>
      <w:r w:rsidRPr="00B00D15">
        <w:rPr>
          <w:rFonts w:ascii="Times New Roman" w:hAnsi="Times New Roman" w:cs="Times New Roman"/>
          <w:sz w:val="28"/>
          <w:szCs w:val="28"/>
        </w:rPr>
        <w:t xml:space="preserve"> 3.0 оказывается стратегией не финансового выживания, а институционального развития, где деньги становятся следствием доверия, прозрачности и реальных результатов, а не самоцелью.</w:t>
      </w:r>
    </w:p>
    <w:sectPr w:rsidR="00B00D15" w:rsidRPr="00B00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AB9"/>
    <w:rsid w:val="000329E8"/>
    <w:rsid w:val="00044DEB"/>
    <w:rsid w:val="000D6402"/>
    <w:rsid w:val="00173335"/>
    <w:rsid w:val="001A4DF8"/>
    <w:rsid w:val="00236722"/>
    <w:rsid w:val="0025724B"/>
    <w:rsid w:val="00307C88"/>
    <w:rsid w:val="0033795D"/>
    <w:rsid w:val="00607A2F"/>
    <w:rsid w:val="0065517E"/>
    <w:rsid w:val="006B373C"/>
    <w:rsid w:val="008560F0"/>
    <w:rsid w:val="009102F6"/>
    <w:rsid w:val="00AC0AB9"/>
    <w:rsid w:val="00AE12B1"/>
    <w:rsid w:val="00B00D15"/>
    <w:rsid w:val="00B367B9"/>
    <w:rsid w:val="00B50B51"/>
    <w:rsid w:val="00BC4896"/>
    <w:rsid w:val="00BE7A38"/>
    <w:rsid w:val="00C9560B"/>
    <w:rsid w:val="00CD44C1"/>
    <w:rsid w:val="00E72C8B"/>
    <w:rsid w:val="00ED7F0E"/>
    <w:rsid w:val="00F12DCB"/>
    <w:rsid w:val="00F219A7"/>
    <w:rsid w:val="00F67C59"/>
    <w:rsid w:val="00FA0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F084C"/>
  <w15:chartTrackingRefBased/>
  <w15:docId w15:val="{A405B9CB-E268-4D1C-B46A-58256EFA7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D15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1441</Words>
  <Characters>8218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RotoGlot</dc:creator>
  <cp:keywords/>
  <dc:description/>
  <cp:lastModifiedBy>RotoGlot</cp:lastModifiedBy>
  <cp:revision>8</cp:revision>
  <dcterms:created xsi:type="dcterms:W3CDTF">2026-05-13T07:54:00Z</dcterms:created>
  <dcterms:modified xsi:type="dcterms:W3CDTF">2026-05-13T08:05:00Z</dcterms:modified>
</cp:coreProperties>
</file>