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3498" w:rsidRPr="00413498" w:rsidRDefault="00413498" w:rsidP="00413498">
      <w:pPr>
        <w:spacing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УДК 316.6:316.624-053.6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Применение социально-психологических технологий для коррекции конфликтности в среде девиантных подростков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Позднякова Ольга Романовна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, магистрант кафедры 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психологии и социальной работы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ФГБОУ ВО «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Рязанский государственный университет имени С.А. Есенина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», г. 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Рязань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Аннотация.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В статье рассматривается проблема повышенной конфликтности в подростковой среде как фактора риска девиантного поведения. Представлен теоретический анализ взаимосвязи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девиантности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конфликтности, обоснована необходимость применения комплексных социально-психологических технологий в коррекционной работе. Описана программа, включающая тренинг социальных навыков, когнитивно-поведенческие техники управления гневом и процедуры медиации ровесников. Приведены результаты формирующего эксперимента, подтверждающие эффективность предложенной модели: снижение индекса враждебности и выбор более конструктивных стратегий поведения в конфликте у подростков экспериментальной группы. Сформулированы практические рекомендации для специалистов социально-психологических служб.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Ключевые слова: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девиантное поведение, подростки, конфликтность, социально-психологические технологии, коррекция, тренинг, медиация, агрессивность.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val="en-US" w:eastAsia="ru-RU"/>
          <w14:ligatures w14:val="none"/>
        </w:rPr>
        <w:t>Application of socio-psychological technologies for the correction of conflict behavior among deviant adolescents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val="en-US" w:eastAsia="ru-RU"/>
          <w14:ligatures w14:val="none"/>
        </w:rPr>
        <w:t>Ivanov Ivan I.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, Master's student, Department of Social Work and Applied Psychology, Russian State Social University, Moscow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val="en-US" w:eastAsia="ru-RU"/>
          <w14:ligatures w14:val="none"/>
        </w:rPr>
        <w:t>Abstract.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 The article addresses the issue of heightened conflict behavior in the adolescent environment as a risk factor for deviant behavior. A theoretical analysis of the interrelation between deviance and conflict proneness is presented, and the necessity of applying integrated socio-psychological technologies in correctional work is substantiated. The program, including social skills training, cognitive-behavioral anger management techniques, and peer mediation procedures, is described. The results of a formative experiment are presented, confirming the effectiveness of the proposed model: a decrease in the hostility index and the choice of more constructive conflict behavior strategies among adolescents in the experimental group. Practical recommendations for specialists of socio-psychological services are formulated.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val="en-US" w:eastAsia="ru-RU"/>
          <w14:ligatures w14:val="none"/>
        </w:rPr>
        <w:t>Keywords: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  <w:t> deviant behavior, adolescents, conflict behavior, socio-psychological technologies, correction, training, mediation, aggressiveness.</w:t>
      </w: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Введение.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Проблема девиантного поведения подростков сохраняет высокую актуальность в контексте современных социальных вызовов. Рост подростковой агрессии, противоправных действий и межличностных конфликтов требует совершенствования коррекционных подходов. Подростки с устойчивыми формами отклоняющегося поведения демонстрируют характерные личностные особенности: импульсивность, низкую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фрустрационную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толерантность, несформированность навыков самоконтроля и преобладание деструктивных способов разрешения противоречий [1, с. 87]. Конфликтность в данной среде выступает одновременно и проявлением, и фактором закрепления девиации, создавая замкнутый круг социальной дезадаптации. Социально-психологические технологии, интегрирующие методы активного обучения, когнитивной перестройки и восстановительного подхода, обладают значительным потенциалом для системной коррекции конфликтного поведения. 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Цель настоящей статьи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обосновать и экспериментально проверить эффективность применения специально разработанной программы социально-психологических технологий для снижения конфликтности в среде девиантных подростков.</w:t>
      </w: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Default="00413498" w:rsidP="00413498">
      <w:pPr>
        <w:spacing w:before="240" w:after="240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Теоретические основы коррекции конфликтности девиантных подростков.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Конфликтность как устойчивая диспозиция личности отражает готовность к восприятию социальных ситуаций как противостояния и склонность к агрессивно-оборонительным реакциям. В подростковом возрасте она усиливается гормональной перестройкой, становлением самооценки и реакцией эмансипации, а при наличии девиантного вектора приобретает гипертрофированные формы. С. А.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Беличева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подчеркивает, что для трудновоспитуемых подростков характерны стойкие нарушения в системе отношений, прежде всего со взрослыми и сверстниками [2, с. 146]. Е. В.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Змановская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определяет девиантное поведение как устойчивое поведение, отклоняющееся от наиболее важных социальных норм и причиняющее реальный ущерб личности и окружающим, при этом конфликтность является ключевым поведенческим маркером [3, с. 45].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Анализ подходов показывает, что внешние санкции и запретительные меры малоэффективны без глубинной перестройки социально-когнитивных схем подростка. Перспективным направлением признано внедрение социально-психологических технологий 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-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научно обоснованных алгоритмов воздействия, направленных на изменение внутренних установок, развитие социальных компетенций и формирование конструктивных поведенческих паттернов [4, с. 31]. Основными мишенями коррекции выступают: дефицит социальных навыков, искаженная интерпретация намерений партнера (враждебная атрибуция), недостаточный эмоциональный интеллект и отсутствие опыта ненасильственного разрешения споров.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Программа социально-психологической коррекции: компоненты и методы.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Нами разработана и апробирована модульная программа, опирающаяся на принципы системности, деятельностного опосредствования и опоры на позитивные ресурсы подростковой группы. Программа реализуется в течение 12 недель и включает три взаимосвязанных блока технологий.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Первый блок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</w:t>
      </w: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тренинг социальных навыков и </w:t>
      </w:r>
      <w:proofErr w:type="spellStart"/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ассертивного</w:t>
      </w:r>
      <w:proofErr w:type="spellEnd"/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поведения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 Через моделируемые ситуации конфликта подростки обучаются различать пассивное, агрессивное и уверенное поведение, осваивают технику «Я-высказывания», учатся отстаивать границы без эскалации. Используются ролевые игры и видеоанализ, что позволяет корректировать неадаптивные паттерны реагирования.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Второй блок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</w:t>
      </w: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когнитивно-поведенческая работа с гневом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. Технология включает выявление индивидуальных триггеров и автоматических мыслей («он специально меня задел»), ведение дневника самонаблюдения, обучение методам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самоинструктажа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релаксационным техникам. Цель — замена импульсивной агрессивной реакции осознанной паузой и последующей рациональной оценкой ситуации [5, с. 94].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Третий блок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</w:t>
      </w: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программа медиации ровесников и восстановительных кругов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. Технология направлена на изменение групповых норм. Из наиболее мотивированных подростков готовятся волонтеры-медиаторы, которые при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супервизии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психолога помогают сверстникам урегулировать текущие конфликты. Регулярные круги сообщества создают пространство для безопасного обсуждения напряженности и выработки общих правил общежития. Такой подход формирует опыт конструктивного диалога и коллективную ответственность за бесконфликтную атмосферу [6, с. 65].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Эмпирическое исследование эффективности программы.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Для проверки эффективности проведен формирующий эксперимент на базе центра социальной помощи. В исследовании участвовали 42 подростка в возрасте 14–16 лет, состоящие на учете по причине девиантного поведения (систематические прогулы, мелкие правонарушения, акты вандализма, внутригрупповая агрессия). Методом случайного распределения сформированы экспериментальная (n=21) и контрольная (n=21) группы, статистически однородные по полу и стартовому уровню конфликтности.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Диагностический инструментарий: опросник «Басса-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Дарки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» для оценки индекса враждебности и видов агрессии; тест описания поведения К. Томаса (адаптация Н. В. Гришиной) для выявления предпочитаемых стратегий поведения в конфликте [7, с. 116]. Замеры проводились до начала программы и через две недели после её окончания.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Первичная диагностика подтвердила высокий уровень агрессивных тенденций в обеих группах: средний индекс враждебности составил 10,8 балла (при норме 6,5–7), доминирующей стратегией являлось соперничество (43% выборов), кооперация как наиболее зрелый способ выбиралась лишь 11% испытуемых. После реализации программы в экспериментальной группе произошли статистически значимые сдвиги (</w:t>
      </w:r>
      <w:proofErr w:type="gram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p&lt;</w:t>
      </w:r>
      <w:proofErr w:type="gram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0,05 по Т-критерию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Уилкоксона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). Индекс враждебности снизился до 8,1 балла, что приближается к умеренному диапазону. Доля выборов стратегии соперничества сократилась до 23%, тогда как частота использования сотрудничества и компромисса возросла в 2,5 раза (до 28% и 31% соответственно). В контрольной группе существенных изменений не зафиксировано. Качественный анализ показал, что подростки экспериментальной группы стали реже прибегать к вербальной агрессии и чаще демонстрировали попытки аргументировать позицию и выслушивать оппонента в стандартизированных ролевых играх.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Заключение.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Проведённое исследование подтверждает, что адресное применение социально-психологических технологий способствует эффективной коррекции конфликтности в среде девиантных подростков. Интеграция тренинга навыков, когнитивной регуляции и восстановительных процедур позволяет воздействовать на три ключевые сферы: поведенческий репертуар, смысловую интерпретацию ситуаций и нормативное поле группы. 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 xml:space="preserve">Практическая ценность работы заключается в возможности внедрения предложенной модульной программы в деятельность социально-реабилитационных центров и образовательных организаций. Перспективы исследования связаны с изучением долгосрочности полученных эффектов и дополнением программы компонентом семейной медиации, поскольку неразрешенные детско-родительские конфликты часто являются триггером подростковой 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девиантности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413498" w:rsidRPr="00413498" w:rsidRDefault="00413498" w:rsidP="00413498">
      <w:pPr>
        <w:spacing w:before="240" w:after="240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Список литературы</w:t>
      </w:r>
    </w:p>
    <w:p w:rsidR="00413498" w:rsidRPr="00413498" w:rsidRDefault="00413498" w:rsidP="00413498">
      <w:pPr>
        <w:numPr>
          <w:ilvl w:val="0"/>
          <w:numId w:val="16"/>
        </w:numP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proofErr w:type="spellStart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Реан</w:t>
      </w:r>
      <w:proofErr w:type="spellEnd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 А. А.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Психология личности. Социализация, поведение, общение. — СПб.: Прайм-ЕВРОЗНАК, 2004. — 416 с.</w:t>
      </w:r>
    </w:p>
    <w:p w:rsidR="00413498" w:rsidRPr="00413498" w:rsidRDefault="00413498" w:rsidP="00413498">
      <w:pPr>
        <w:numPr>
          <w:ilvl w:val="0"/>
          <w:numId w:val="16"/>
        </w:numP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proofErr w:type="spellStart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Беличева</w:t>
      </w:r>
      <w:proofErr w:type="spellEnd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 С. А.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Основы превентивной психологии. — М.: Редакционно-издательский центр Консорциума «Социальное здоровье России», 1994. — 221 с.</w:t>
      </w:r>
    </w:p>
    <w:p w:rsidR="00413498" w:rsidRPr="00413498" w:rsidRDefault="00413498" w:rsidP="00413498">
      <w:pPr>
        <w:numPr>
          <w:ilvl w:val="0"/>
          <w:numId w:val="16"/>
        </w:numP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proofErr w:type="spellStart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Змановская</w:t>
      </w:r>
      <w:proofErr w:type="spellEnd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 Е. В.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Девиантология</w:t>
      </w:r>
      <w:proofErr w:type="spellEnd"/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: (Психология отклоняющегося поведения). — М.: Академия, 2004. — 288 с.</w:t>
      </w:r>
    </w:p>
    <w:p w:rsidR="00413498" w:rsidRPr="00413498" w:rsidRDefault="00413498" w:rsidP="00413498">
      <w:pPr>
        <w:numPr>
          <w:ilvl w:val="0"/>
          <w:numId w:val="16"/>
        </w:numP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Петровская Л. А.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Компетентность в общении. Социально-психологический тренинг. — М.: Изд-во МГУ, 1989. — 216 с.</w:t>
      </w:r>
    </w:p>
    <w:p w:rsidR="00413498" w:rsidRPr="00413498" w:rsidRDefault="00413498" w:rsidP="00413498">
      <w:pPr>
        <w:numPr>
          <w:ilvl w:val="0"/>
          <w:numId w:val="16"/>
        </w:numP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proofErr w:type="spellStart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Смидт</w:t>
      </w:r>
      <w:proofErr w:type="spellEnd"/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 xml:space="preserve"> Р.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Групповая работа с детьми и подростками / Пер. с англ. — М.: Генезис, 2000. — 272 с.</w:t>
      </w:r>
    </w:p>
    <w:p w:rsidR="00413498" w:rsidRPr="00413498" w:rsidRDefault="00413498" w:rsidP="00413498">
      <w:pPr>
        <w:numPr>
          <w:ilvl w:val="0"/>
          <w:numId w:val="16"/>
        </w:numP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Коновалов А. Ю.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Школьная служба примирения и восстановительная культура взаимоотношений: практическое руководство. — М.: МОО Центр «Судебно-правовая реформа», 2014. — 268 с.</w:t>
      </w:r>
    </w:p>
    <w:p w:rsidR="00413498" w:rsidRPr="00413498" w:rsidRDefault="00413498" w:rsidP="00413498">
      <w:pPr>
        <w:numPr>
          <w:ilvl w:val="0"/>
          <w:numId w:val="16"/>
        </w:numP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413498">
        <w:rPr>
          <w:rFonts w:ascii="Times New Roman" w:eastAsia="Times New Roman" w:hAnsi="Times New Roman" w:cs="Times New Roman"/>
          <w:i/>
          <w:iCs/>
          <w:color w:val="0F1115"/>
          <w:kern w:val="0"/>
          <w:sz w:val="28"/>
          <w:szCs w:val="28"/>
          <w:lang w:eastAsia="ru-RU"/>
          <w14:ligatures w14:val="none"/>
        </w:rPr>
        <w:t>Гришина Н. В.</w:t>
      </w:r>
      <w:r w:rsidRPr="0041349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 Психология конфликта. — 3-е изд. — СПб.: Питер, 2018. — 576 с.</w:t>
      </w:r>
    </w:p>
    <w:p w:rsidR="00FF7F87" w:rsidRPr="00BC4394" w:rsidRDefault="00FF7F87">
      <w:pPr>
        <w:rPr>
          <w:rFonts w:ascii="Times New Roman" w:hAnsi="Times New Roman" w:cs="Times New Roman"/>
          <w:sz w:val="28"/>
          <w:szCs w:val="28"/>
        </w:rPr>
      </w:pPr>
    </w:p>
    <w:sectPr w:rsidR="00FF7F87" w:rsidRPr="00BC4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517"/>
    <w:multiLevelType w:val="multilevel"/>
    <w:tmpl w:val="31F60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76E15"/>
    <w:multiLevelType w:val="multilevel"/>
    <w:tmpl w:val="B8541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F2AD8"/>
    <w:multiLevelType w:val="multilevel"/>
    <w:tmpl w:val="D3DC2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F510A"/>
    <w:multiLevelType w:val="multilevel"/>
    <w:tmpl w:val="612C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567C59"/>
    <w:multiLevelType w:val="multilevel"/>
    <w:tmpl w:val="7B421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426345"/>
    <w:multiLevelType w:val="multilevel"/>
    <w:tmpl w:val="3AEC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D61E19"/>
    <w:multiLevelType w:val="multilevel"/>
    <w:tmpl w:val="C6949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C272AD"/>
    <w:multiLevelType w:val="multilevel"/>
    <w:tmpl w:val="38209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FB717C"/>
    <w:multiLevelType w:val="multilevel"/>
    <w:tmpl w:val="0758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590328"/>
    <w:multiLevelType w:val="multilevel"/>
    <w:tmpl w:val="71AAF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6C19E0"/>
    <w:multiLevelType w:val="multilevel"/>
    <w:tmpl w:val="CB26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814DB"/>
    <w:multiLevelType w:val="multilevel"/>
    <w:tmpl w:val="85F0B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C17DE6"/>
    <w:multiLevelType w:val="multilevel"/>
    <w:tmpl w:val="6A98A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9B6F59"/>
    <w:multiLevelType w:val="multilevel"/>
    <w:tmpl w:val="F07A3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A35545"/>
    <w:multiLevelType w:val="multilevel"/>
    <w:tmpl w:val="E716C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3D316B"/>
    <w:multiLevelType w:val="multilevel"/>
    <w:tmpl w:val="4954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4737259">
    <w:abstractNumId w:val="7"/>
  </w:num>
  <w:num w:numId="2" w16cid:durableId="1946109621">
    <w:abstractNumId w:val="5"/>
  </w:num>
  <w:num w:numId="3" w16cid:durableId="797114524">
    <w:abstractNumId w:val="14"/>
  </w:num>
  <w:num w:numId="4" w16cid:durableId="1280140003">
    <w:abstractNumId w:val="2"/>
  </w:num>
  <w:num w:numId="5" w16cid:durableId="1998457839">
    <w:abstractNumId w:val="10"/>
  </w:num>
  <w:num w:numId="6" w16cid:durableId="970940114">
    <w:abstractNumId w:val="8"/>
  </w:num>
  <w:num w:numId="7" w16cid:durableId="1038310932">
    <w:abstractNumId w:val="12"/>
  </w:num>
  <w:num w:numId="8" w16cid:durableId="1664818123">
    <w:abstractNumId w:val="11"/>
  </w:num>
  <w:num w:numId="9" w16cid:durableId="152376092">
    <w:abstractNumId w:val="13"/>
  </w:num>
  <w:num w:numId="10" w16cid:durableId="132254657">
    <w:abstractNumId w:val="4"/>
  </w:num>
  <w:num w:numId="11" w16cid:durableId="1051225156">
    <w:abstractNumId w:val="3"/>
  </w:num>
  <w:num w:numId="12" w16cid:durableId="487750332">
    <w:abstractNumId w:val="6"/>
  </w:num>
  <w:num w:numId="13" w16cid:durableId="1611621875">
    <w:abstractNumId w:val="9"/>
  </w:num>
  <w:num w:numId="14" w16cid:durableId="771390121">
    <w:abstractNumId w:val="15"/>
  </w:num>
  <w:num w:numId="15" w16cid:durableId="589392415">
    <w:abstractNumId w:val="1"/>
  </w:num>
  <w:num w:numId="16" w16cid:durableId="1509977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94"/>
    <w:rsid w:val="00413498"/>
    <w:rsid w:val="004152C8"/>
    <w:rsid w:val="005F7020"/>
    <w:rsid w:val="00BC4394"/>
    <w:rsid w:val="00D33CC4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69CF7"/>
  <w15:chartTrackingRefBased/>
  <w15:docId w15:val="{294197C0-8F08-834D-9C29-9C30116C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439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4394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ds-markdown-paragraph">
    <w:name w:val="ds-markdown-paragraph"/>
    <w:basedOn w:val="a"/>
    <w:rsid w:val="00BC439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3">
    <w:name w:val="Strong"/>
    <w:basedOn w:val="a0"/>
    <w:uiPriority w:val="22"/>
    <w:qFormat/>
    <w:rsid w:val="00BC4394"/>
    <w:rPr>
      <w:b/>
      <w:bCs/>
    </w:rPr>
  </w:style>
  <w:style w:type="character" w:customStyle="1" w:styleId="apple-converted-space">
    <w:name w:val="apple-converted-space"/>
    <w:basedOn w:val="a0"/>
    <w:rsid w:val="00BC4394"/>
  </w:style>
  <w:style w:type="character" w:styleId="a4">
    <w:name w:val="Emphasis"/>
    <w:basedOn w:val="a0"/>
    <w:uiPriority w:val="20"/>
    <w:qFormat/>
    <w:rsid w:val="00BC43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1508</Words>
  <Characters>8596</Characters>
  <Application>Microsoft Office Word</Application>
  <DocSecurity>0</DocSecurity>
  <Lines>71</Lines>
  <Paragraphs>20</Paragraphs>
  <ScaleCrop>false</ScaleCrop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Волокитина</dc:creator>
  <cp:keywords/>
  <dc:description/>
  <cp:lastModifiedBy>Ольга Волокитина</cp:lastModifiedBy>
  <cp:revision>3</cp:revision>
  <dcterms:created xsi:type="dcterms:W3CDTF">2026-05-06T15:05:00Z</dcterms:created>
  <dcterms:modified xsi:type="dcterms:W3CDTF">2026-05-13T14:44:00Z</dcterms:modified>
</cp:coreProperties>
</file>