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29F84">
      <w:pPr>
        <w:jc w:val="center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Муниуипальное бюджетное общеобразовательное учреждение</w:t>
      </w:r>
    </w:p>
    <w:p w14:paraId="0EBAD50F">
      <w:pPr>
        <w:jc w:val="center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«Лекареская средняя школа»</w:t>
      </w:r>
    </w:p>
    <w:p w14:paraId="525C8D60">
      <w:pPr>
        <w:jc w:val="center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Елабужского муниципальног района Республики Татарстан</w:t>
      </w:r>
    </w:p>
    <w:p w14:paraId="0C672D9F">
      <w:pPr>
        <w:jc w:val="center"/>
        <w:rPr>
          <w:sz w:val="28"/>
          <w:szCs w:val="28"/>
        </w:rPr>
      </w:pPr>
    </w:p>
    <w:p w14:paraId="7A1021D1">
      <w:pPr>
        <w:jc w:val="center"/>
        <w:rPr>
          <w:sz w:val="28"/>
          <w:szCs w:val="28"/>
        </w:rPr>
      </w:pPr>
    </w:p>
    <w:p w14:paraId="1ABC0485">
      <w:pPr>
        <w:jc w:val="center"/>
        <w:rPr>
          <w:sz w:val="28"/>
          <w:szCs w:val="28"/>
        </w:rPr>
      </w:pPr>
    </w:p>
    <w:p w14:paraId="31352717">
      <w:pPr>
        <w:jc w:val="center"/>
        <w:rPr>
          <w:sz w:val="28"/>
          <w:szCs w:val="28"/>
        </w:rPr>
      </w:pPr>
    </w:p>
    <w:p w14:paraId="651220A9">
      <w:pPr>
        <w:jc w:val="center"/>
        <w:rPr>
          <w:sz w:val="28"/>
          <w:szCs w:val="28"/>
        </w:rPr>
      </w:pPr>
    </w:p>
    <w:p w14:paraId="03C37D04">
      <w:pPr>
        <w:jc w:val="center"/>
        <w:rPr>
          <w:sz w:val="28"/>
          <w:szCs w:val="28"/>
        </w:rPr>
      </w:pPr>
    </w:p>
    <w:p w14:paraId="7D084F29">
      <w:pPr>
        <w:jc w:val="center"/>
        <w:rPr>
          <w:sz w:val="28"/>
          <w:szCs w:val="28"/>
        </w:rPr>
      </w:pPr>
    </w:p>
    <w:p w14:paraId="6ABD0C13">
      <w:pPr>
        <w:jc w:val="center"/>
        <w:rPr>
          <w:sz w:val="28"/>
          <w:szCs w:val="28"/>
        </w:rPr>
      </w:pPr>
    </w:p>
    <w:p w14:paraId="110C45A4">
      <w:pPr>
        <w:jc w:val="center"/>
        <w:rPr>
          <w:sz w:val="28"/>
          <w:szCs w:val="28"/>
        </w:rPr>
      </w:pPr>
    </w:p>
    <w:p w14:paraId="51D8F9B6">
      <w:pPr>
        <w:jc w:val="center"/>
        <w:rPr>
          <w:sz w:val="28"/>
          <w:szCs w:val="28"/>
        </w:rPr>
      </w:pPr>
    </w:p>
    <w:p w14:paraId="5C52E27B">
      <w:pPr>
        <w:jc w:val="center"/>
        <w:rPr>
          <w:sz w:val="28"/>
          <w:szCs w:val="28"/>
        </w:rPr>
      </w:pPr>
    </w:p>
    <w:p w14:paraId="21485BDC">
      <w:pPr>
        <w:jc w:val="center"/>
        <w:rPr>
          <w:sz w:val="28"/>
          <w:szCs w:val="28"/>
        </w:rPr>
      </w:pPr>
    </w:p>
    <w:p w14:paraId="61430620">
      <w:pPr>
        <w:jc w:val="center"/>
        <w:rPr>
          <w:sz w:val="28"/>
          <w:szCs w:val="28"/>
        </w:rPr>
      </w:pPr>
    </w:p>
    <w:p w14:paraId="3CF3F5AA">
      <w:pPr>
        <w:jc w:val="center"/>
        <w:rPr>
          <w:sz w:val="28"/>
          <w:szCs w:val="28"/>
        </w:rPr>
      </w:pPr>
    </w:p>
    <w:p w14:paraId="5372689A">
      <w:pPr>
        <w:jc w:val="center"/>
        <w:rPr>
          <w:sz w:val="28"/>
          <w:szCs w:val="28"/>
        </w:rPr>
      </w:pPr>
    </w:p>
    <w:p w14:paraId="3720F1FE">
      <w:pPr>
        <w:jc w:val="center"/>
        <w:rPr>
          <w:sz w:val="28"/>
          <w:szCs w:val="28"/>
        </w:rPr>
      </w:pPr>
    </w:p>
    <w:p w14:paraId="4250B1A4">
      <w:pPr>
        <w:jc w:val="center"/>
        <w:rPr>
          <w:sz w:val="28"/>
          <w:szCs w:val="28"/>
        </w:rPr>
      </w:pPr>
    </w:p>
    <w:p w14:paraId="6D4DE4E1">
      <w:pPr>
        <w:jc w:val="center"/>
        <w:rPr>
          <w:rFonts w:hint="default"/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Научная</w:t>
      </w:r>
      <w:r>
        <w:rPr>
          <w:rFonts w:hint="default"/>
          <w:sz w:val="36"/>
          <w:szCs w:val="36"/>
          <w:lang w:val="ru-RU"/>
        </w:rPr>
        <w:t xml:space="preserve"> статья</w:t>
      </w:r>
    </w:p>
    <w:p w14:paraId="2B351461">
      <w:pPr>
        <w:jc w:val="center"/>
        <w:rPr>
          <w:sz w:val="28"/>
          <w:szCs w:val="28"/>
        </w:rPr>
      </w:pPr>
    </w:p>
    <w:p w14:paraId="3AB3C2AA">
      <w:pPr>
        <w:pStyle w:val="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40"/>
          <w:szCs w:val="4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40"/>
          <w:szCs w:val="40"/>
        </w:rPr>
        <w:t xml:space="preserve">Психолого-педагогические аспекты формирования </w:t>
      </w:r>
    </w:p>
    <w:p w14:paraId="6344F067">
      <w:pPr>
        <w:pStyle w:val="2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40"/>
          <w:szCs w:val="4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40"/>
          <w:szCs w:val="40"/>
        </w:rPr>
        <w:t>лидерских качеств у методистов</w:t>
      </w:r>
    </w:p>
    <w:p w14:paraId="01FB4A0C">
      <w:pPr>
        <w:jc w:val="center"/>
        <w:rPr>
          <w:sz w:val="28"/>
          <w:szCs w:val="28"/>
        </w:rPr>
      </w:pPr>
    </w:p>
    <w:p w14:paraId="686873BE">
      <w:pPr>
        <w:jc w:val="center"/>
        <w:rPr>
          <w:sz w:val="28"/>
          <w:szCs w:val="28"/>
        </w:rPr>
      </w:pPr>
    </w:p>
    <w:p w14:paraId="031758FE">
      <w:pPr>
        <w:jc w:val="center"/>
        <w:rPr>
          <w:sz w:val="28"/>
          <w:szCs w:val="28"/>
        </w:rPr>
      </w:pPr>
    </w:p>
    <w:p w14:paraId="53C4E9DC">
      <w:pPr>
        <w:jc w:val="center"/>
        <w:rPr>
          <w:sz w:val="28"/>
          <w:szCs w:val="28"/>
        </w:rPr>
      </w:pPr>
    </w:p>
    <w:p w14:paraId="3BC3A0BC">
      <w:pPr>
        <w:jc w:val="center"/>
        <w:rPr>
          <w:sz w:val="28"/>
          <w:szCs w:val="28"/>
        </w:rPr>
      </w:pPr>
    </w:p>
    <w:p w14:paraId="60FFD4B8">
      <w:pPr>
        <w:jc w:val="center"/>
        <w:rPr>
          <w:sz w:val="28"/>
          <w:szCs w:val="28"/>
        </w:rPr>
      </w:pPr>
    </w:p>
    <w:p w14:paraId="3772A182">
      <w:pPr>
        <w:jc w:val="center"/>
        <w:rPr>
          <w:sz w:val="28"/>
          <w:szCs w:val="28"/>
        </w:rPr>
      </w:pPr>
    </w:p>
    <w:p w14:paraId="2BA2C4C9">
      <w:pPr>
        <w:jc w:val="center"/>
        <w:rPr>
          <w:sz w:val="28"/>
          <w:szCs w:val="28"/>
        </w:rPr>
      </w:pPr>
    </w:p>
    <w:p w14:paraId="10ACFA9B">
      <w:pPr>
        <w:jc w:val="center"/>
        <w:rPr>
          <w:sz w:val="28"/>
          <w:szCs w:val="28"/>
        </w:rPr>
      </w:pPr>
    </w:p>
    <w:p w14:paraId="60EBF599">
      <w:pPr>
        <w:jc w:val="righ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>Составитель</w:t>
      </w:r>
      <w:r>
        <w:rPr>
          <w:rFonts w:hint="default"/>
          <w:sz w:val="28"/>
          <w:szCs w:val="28"/>
          <w:lang w:val="ru-RU"/>
        </w:rPr>
        <w:t>:</w:t>
      </w:r>
    </w:p>
    <w:p w14:paraId="4EA4767A">
      <w:pPr>
        <w:jc w:val="right"/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>Учитель 1 кв.категории</w:t>
      </w:r>
    </w:p>
    <w:p w14:paraId="56C04654">
      <w:pPr>
        <w:jc w:val="right"/>
        <w:rPr>
          <w:sz w:val="28"/>
          <w:szCs w:val="28"/>
        </w:rPr>
      </w:pPr>
      <w:r>
        <w:rPr>
          <w:sz w:val="28"/>
          <w:szCs w:val="28"/>
          <w:lang w:val="ru-RU"/>
        </w:rPr>
        <w:t>М</w:t>
      </w:r>
      <w:r>
        <w:rPr>
          <w:rFonts w:hint="default"/>
          <w:sz w:val="28"/>
          <w:szCs w:val="28"/>
          <w:lang w:val="ru-RU"/>
        </w:rPr>
        <w:t>.Г.Хасанова</w:t>
      </w:r>
    </w:p>
    <w:p w14:paraId="545CACE5">
      <w:pPr>
        <w:rPr>
          <w:sz w:val="28"/>
          <w:szCs w:val="28"/>
        </w:rPr>
      </w:pPr>
    </w:p>
    <w:p w14:paraId="1DFC82F6">
      <w:pPr>
        <w:rPr>
          <w:sz w:val="28"/>
          <w:szCs w:val="28"/>
        </w:rPr>
      </w:pPr>
    </w:p>
    <w:p w14:paraId="05016B00">
      <w:pPr>
        <w:pStyle w:val="3"/>
        <w:bidi w:val="0"/>
        <w:jc w:val="center"/>
        <w:rPr>
          <w:rFonts w:hint="default"/>
          <w:b w:val="0"/>
          <w:bCs w:val="0"/>
          <w:sz w:val="28"/>
          <w:szCs w:val="28"/>
          <w:lang w:val="ru-RU"/>
        </w:rPr>
        <w:sectPr>
          <w:pgSz w:w="11906" w:h="16838"/>
          <w:pgMar w:top="1134" w:right="567" w:bottom="1134" w:left="1701" w:header="720" w:footer="720" w:gutter="0"/>
          <w:pgNumType w:fmt="decimal" w:start="3"/>
          <w:cols w:space="720" w:num="1"/>
          <w:docGrid w:linePitch="360" w:charSpace="0"/>
        </w:sectPr>
      </w:pPr>
      <w:r>
        <w:rPr>
          <w:rFonts w:hint="default"/>
          <w:b w:val="0"/>
          <w:bCs w:val="0"/>
          <w:sz w:val="28"/>
          <w:szCs w:val="28"/>
          <w:lang w:val="ru-RU"/>
        </w:rPr>
        <w:t>2026</w:t>
      </w:r>
    </w:p>
    <w:p w14:paraId="52604317">
      <w:pPr>
        <w:pStyle w:val="8"/>
        <w:keepNext w:val="0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</w:pPr>
      <w:bookmarkStart w:id="0" w:name="_GoBack"/>
      <w:bookmarkEnd w:id="0"/>
      <w:r>
        <w:rPr>
          <w:rStyle w:val="9"/>
        </w:rPr>
        <w:t>Психолого-педагогические факторы играют важную роль в формировании лидерских качеств у школьных методистов, поскольку именно они создают внутреннюю основу для развития компетенций, необходимых для эффективного управления и организации коллективной деятельности. Ключевыми личностными характеристиками, определяющими успешное лидерство в методической работе, являются мотивация достижения, высокая самооценка, развитый эмоциональный интеллект, коммуникативные способности и устойчивость к стрессу. Мотивация достижения стимулирует методиста к постоянному профессиональному росту и преодолению трудностей, самооценка формирует уверенность в собственных силах и принятии решений, что критично для лидерских функций. Эмоциональный интеллект помогает распознавать и учитывать чувства коллег, эффективно разрешать конфликты и поддерживать позитивный климат в команде. Коммуникативные навыки обеспечивают ясное представление целей и задач, а стрессоустойчивость позволяет сохранять продуктивность даже в напряжённой обстановке .</w:t>
      </w:r>
    </w:p>
    <w:p w14:paraId="78DEBA13">
      <w:pPr>
        <w:pStyle w:val="8"/>
      </w:pPr>
      <w:r>
        <w:rPr>
          <w:rStyle w:val="9"/>
        </w:rPr>
        <w:t>Кроме того, биопсихологические особенности личности – возрастные и половые характеристики, тип нервной системы, темперамент – оказывают влияние на стиль лидерства и способы взаимодействия методиста с педагогическим коллективом. Например, специалисты с высокой сенситивностью и эмпатией способны легче налаживать доверительные отношения и гармоничное сотрудничество в команде. Темперамент в свою очередь влияет на способность адаптироваться к изменениям и контролировать эмоциональное состояние, что важно при ведении коллективных проектов и внедрении образовательных инноваций. Учитывание индивидуальных биопсихологических параметров позволяет более точно выстраивать персонализированную программу развития лидерских компетенций у методистов .</w:t>
      </w:r>
    </w:p>
    <w:p w14:paraId="55675824">
      <w:pPr>
        <w:pStyle w:val="8"/>
      </w:pPr>
      <w:r>
        <w:rPr>
          <w:rStyle w:val="9"/>
        </w:rPr>
        <w:t>Процесс формирования лидерских качеств у методистов представляет собой целенаправленное воспитание и обучение, в рамках которого создаётся устойчивый комплекс характеристик, трансформирующих личность в компетентного лидера. Этому способствует не только профессиональная подготовка, но и влияние социальной среды, включая семью, образовательные учреждения и коллективы сверстников. Разнообразные игровые и практические методы, а также активное вовлечение в социально значимую деятельность создают условия для интеграции личностных и профессиональных навыков. Постоянное применение инициативы в учебно-методической практике способствует развитию ответственности и готовности к принятию самостоятельных управленческих решений.</w:t>
      </w:r>
    </w:p>
    <w:p w14:paraId="1457CFEE">
      <w:pPr>
        <w:pStyle w:val="8"/>
      </w:pPr>
      <w:r>
        <w:rPr>
          <w:rStyle w:val="9"/>
        </w:rPr>
        <w:t>Особенно значимы в педагогической деятельности методистов программы и методики, направленные на формирование лидерства у молодежи, поскольку они помогают переносить опыт на работу с учительскими коллективами. Такой подход основан на результатах исследований, которые подчёркивают значение эмоционального интеллекта как фактора успешного лидера и необходимость практического обучения в условиях реального педагогического взаимодействия. Инициативность рассматривается как инструмент, стимулирующий творческое мышление и активное участие всех членов команды в достижении образовательных целей, что делает работу методиста более результативной и вдохновляющей.</w:t>
      </w:r>
    </w:p>
    <w:p w14:paraId="289D2A80">
      <w:pPr>
        <w:pStyle w:val="8"/>
      </w:pPr>
      <w:r>
        <w:rPr>
          <w:rStyle w:val="9"/>
        </w:rPr>
        <w:t xml:space="preserve">Влияние перечисленных психолого-педагогических аспектов на развитие командной работы учителей проявляется через создание атмосферы доверия и сотрудничества, способствующей коллективному решению проблем и обмену опытом. Лидерские качества методиста формируют мотивационные и коммуникативные условия, необходимые для </w:t>
      </w:r>
      <w:r>
        <w:rPr>
          <w:rStyle w:val="9"/>
          <w:highlight w:val="none"/>
        </w:rPr>
        <w:t>синергии</w:t>
      </w:r>
      <w:r>
        <w:rPr>
          <w:rStyle w:val="9"/>
        </w:rPr>
        <w:t xml:space="preserve"> педагогического коллектива, что повышает общий уровень профессионализма и устойчивость команды к внешним вызовам. Становление методиста как лидера обеспечивает согласованность действий участников образовательного процесса, что оптимизирует управление и способствует более быстрому внедрению инноваций.</w:t>
      </w:r>
    </w:p>
    <w:p w14:paraId="2D43F674">
      <w:pPr>
        <w:pStyle w:val="8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Style w:val="10"/>
          <w:rFonts w:hint="default"/>
          <w:b w:val="0"/>
          <w:bCs w:val="0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Методист, обладающий лидерскими качествами, способен эффективно координировать работу коллектива, внедрять инновации, вдохновлять коллег и </w:t>
      </w:r>
      <w:r>
        <w:rPr>
          <w:rStyle w:val="10"/>
          <w:rFonts w:hint="default"/>
          <w:b w:val="0"/>
          <w:bCs w:val="0"/>
        </w:rPr>
        <w:t>создавать продуктивную профессиональную среду.</w:t>
      </w:r>
    </w:p>
    <w:p w14:paraId="179282EF">
      <w:pPr>
        <w:pStyle w:val="3"/>
        <w:keepNext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Психологические аспекты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:</w:t>
      </w:r>
    </w:p>
    <w:p w14:paraId="6F7AF5D5">
      <w:pPr>
        <w:pStyle w:val="6"/>
        <w:keepNext/>
        <w:keepLines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40" w:firstLineChars="5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Мотивация достижения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— ключевой фактор. Лидер ориентирован на результат, стремится к успеху, проявляет настойчивость в достижении целей, готов преодолевать трудности и брать на себя ответственность. Высокая мотивация позволяет методисту ставить амбициозные задачи, вдохновлять коллег и поддерживать высокий уровень работоспособности. </w:t>
      </w:r>
    </w:p>
    <w:p w14:paraId="7D663C13">
      <w:pPr>
        <w:pStyle w:val="6"/>
        <w:keepNext/>
        <w:keepLines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40" w:firstLineChars="5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Самооценка и уверенность в себе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играют решающую роль. Адекватная самооценка позволяет принимать взвешенные решения, избегать излишнего риска или чрезмерной осторожности. Уверенность в своих силах помогает действовать решительно, проявлять инициативу и принимать ответственность за свои решения. Низкая самооценка, напротив, может препятствовать проявлению лидерских качеств. </w:t>
      </w:r>
    </w:p>
    <w:p w14:paraId="030BE66E">
      <w:pPr>
        <w:pStyle w:val="6"/>
        <w:keepNext/>
        <w:keepLines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40" w:firstLineChars="50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Эмоциональный интеллект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— способность распознавать и управлять своими эмоциями, а также учитывать эмоциональное состояние других людей. Лидер с развитым эмоциональным интеллектом способен поддерживать благоприятный психологический климат в коллективе, предотвращать конфликты и укреплять взаимопонимание между коллегами. </w:t>
      </w:r>
    </w:p>
    <w:p w14:paraId="4D2FAFDA">
      <w:pPr>
        <w:pStyle w:val="6"/>
        <w:keepNext/>
        <w:keepLines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Способность к самоанализу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помогает объективно оценивать свои действия и поведение, что способствует повышению профессионализма и лидерских качеств. </w:t>
      </w:r>
    </w:p>
    <w:p w14:paraId="2C4D7602">
      <w:pPr>
        <w:pStyle w:val="2"/>
        <w:keepNext/>
        <w:keepLines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Педагогические аспекты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:</w:t>
      </w:r>
    </w:p>
    <w:p w14:paraId="3505402B">
      <w:pPr>
        <w:pStyle w:val="6"/>
        <w:keepNext/>
        <w:keepLines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40" w:firstLineChars="5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Целенаправленное обучение и воспитание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— основа формирования лидерских качеств. Это может включать тренинги, упражнения, изучение теоретических основ лидерства и педагогики. </w:t>
      </w:r>
    </w:p>
    <w:p w14:paraId="3E90E376">
      <w:pPr>
        <w:pStyle w:val="6"/>
        <w:keepNext/>
        <w:keepLines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96" w:beforeAutospacing="0" w:after="96" w:afterAutospacing="0" w:line="360" w:lineRule="auto"/>
        <w:ind w:left="0" w:right="0" w:firstLine="140" w:firstLineChars="5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Развитие Я-концепции и локуса контроля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важный аспект работы с методистами. Я-концепция определяет, как человек воспринимает себя, а локус контроля — его способность влиять на события. Оба компонента влияют на лидерский потенциал. </w:t>
      </w:r>
    </w:p>
    <w:p w14:paraId="2DF81C9E">
      <w:pPr>
        <w:pStyle w:val="6"/>
        <w:keepNext/>
        <w:keepLines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96" w:beforeAutospacing="0" w:after="96" w:afterAutospacing="0" w:line="360" w:lineRule="auto"/>
        <w:ind w:left="0" w:right="0" w:firstLine="140" w:firstLineChars="5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Использование моделируемых ситуаций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эффективный метод развития лидерства. Ролевые игры, анализ кейсов, проектная деятельность позволяют методистам проявить лидерские качества в условиях, приближенных к реальным. </w:t>
      </w:r>
    </w:p>
    <w:p w14:paraId="59D03A70">
      <w:pPr>
        <w:pStyle w:val="6"/>
        <w:keepNext/>
        <w:keepLines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96" w:beforeAutospacing="0" w:after="96" w:afterAutospacing="0" w:line="360" w:lineRule="auto"/>
        <w:ind w:left="0" w:leftChars="0" w:right="0" w:firstLine="140" w:firstLineChars="5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- </w:t>
      </w: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Педагогическое сопровождение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включает диагностику исходного уровня лидерских склонностей, отслеживание динамики развития качеств и индивидуализацию подходов. Например, одному методисту можно поручить роль организатора проекта, другому — ответственность за внедрение новой методики. </w:t>
      </w:r>
    </w:p>
    <w:p w14:paraId="5DE3724B"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44" w:afterAutospacing="0" w:line="336" w:lineRule="atLeast"/>
        <w:ind w:left="0" w:right="0" w:firstLine="0"/>
        <w:jc w:val="right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0"/>
          <w:szCs w:val="20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spacing w:val="0"/>
          <w:sz w:val="20"/>
          <w:szCs w:val="20"/>
          <w:shd w:val="clear" w:fill="FFFFFF"/>
          <w:lang w:val="ru-RU"/>
        </w:rPr>
        <w:t>Т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0"/>
          <w:szCs w:val="20"/>
          <w:shd w:val="clear" w:fill="FFFFFF"/>
          <w:lang w:val="ru-RU"/>
        </w:rPr>
        <w:t xml:space="preserve">аблица 1.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0"/>
          <w:szCs w:val="20"/>
          <w:shd w:val="clear" w:fill="FFFFFF"/>
        </w:rPr>
        <w:t>Ключевые компетенции методиста-лидера</w:t>
      </w: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39"/>
        <w:gridCol w:w="5741"/>
      </w:tblGrid>
      <w:tr w14:paraId="3FCF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288" w:type="dxa"/>
            </w:tcMar>
            <w:vAlign w:val="center"/>
          </w:tcPr>
          <w:p w14:paraId="3773D0CE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Компетенция</w:t>
            </w:r>
          </w:p>
        </w:tc>
        <w:tc>
          <w:tcPr>
            <w:tcW w:w="0" w:type="auto"/>
            <w:shd w:val="clear" w:color="auto" w:fill="FFFFFF"/>
            <w:tcMar>
              <w:top w:w="96" w:type="dxa"/>
              <w:left w:w="288" w:type="dxa"/>
              <w:bottom w:w="96" w:type="dxa"/>
              <w:right w:w="288" w:type="dxa"/>
            </w:tcMar>
            <w:vAlign w:val="center"/>
          </w:tcPr>
          <w:p w14:paraId="76C772BB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Описание</w:t>
            </w:r>
          </w:p>
        </w:tc>
      </w:tr>
      <w:tr w14:paraId="1596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288" w:type="dxa"/>
            </w:tcMar>
            <w:vAlign w:val="center"/>
          </w:tcPr>
          <w:p w14:paraId="7F04C55D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Организаторские способности</w:t>
            </w:r>
          </w:p>
        </w:tc>
        <w:tc>
          <w:tcPr>
            <w:tcW w:w="0" w:type="auto"/>
            <w:shd w:val="clear" w:color="auto" w:fill="FFFFFF"/>
            <w:tcMar>
              <w:top w:w="96" w:type="dxa"/>
              <w:left w:w="288" w:type="dxa"/>
              <w:bottom w:w="96" w:type="dxa"/>
              <w:right w:w="288" w:type="dxa"/>
            </w:tcMar>
            <w:vAlign w:val="center"/>
          </w:tcPr>
          <w:p w14:paraId="64BEA63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Умение планировать работу, координировать действия коллег, распределять задачи и контролировать результаты. </w:t>
            </w:r>
          </w:p>
        </w:tc>
      </w:tr>
      <w:tr w14:paraId="501CD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288" w:type="dxa"/>
            </w:tcMar>
            <w:vAlign w:val="center"/>
          </w:tcPr>
          <w:p w14:paraId="4C5E011B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Коммуникативные навыки</w:t>
            </w:r>
          </w:p>
        </w:tc>
        <w:tc>
          <w:tcPr>
            <w:tcW w:w="0" w:type="auto"/>
            <w:shd w:val="clear" w:color="auto" w:fill="FFFFFF"/>
            <w:tcMar>
              <w:top w:w="96" w:type="dxa"/>
              <w:left w:w="288" w:type="dxa"/>
              <w:bottom w:w="96" w:type="dxa"/>
              <w:right w:w="288" w:type="dxa"/>
            </w:tcMar>
            <w:vAlign w:val="center"/>
          </w:tcPr>
          <w:p w14:paraId="0A869C0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Способность ясно излагать мысли, активно слушать, строить конструктивный диалог, убеждать. </w:t>
            </w:r>
          </w:p>
        </w:tc>
      </w:tr>
      <w:tr w14:paraId="74D3E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288" w:type="dxa"/>
            </w:tcMar>
            <w:vAlign w:val="center"/>
          </w:tcPr>
          <w:p w14:paraId="18467AC3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Аналитическое мышление</w:t>
            </w:r>
          </w:p>
        </w:tc>
        <w:tc>
          <w:tcPr>
            <w:tcW w:w="0" w:type="auto"/>
            <w:shd w:val="clear" w:color="auto" w:fill="FFFFFF"/>
            <w:tcMar>
              <w:top w:w="96" w:type="dxa"/>
              <w:left w:w="288" w:type="dxa"/>
              <w:bottom w:w="96" w:type="dxa"/>
              <w:right w:w="288" w:type="dxa"/>
            </w:tcMar>
            <w:vAlign w:val="center"/>
          </w:tcPr>
          <w:p w14:paraId="3A34D0D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Умение анализировать ситуации, выбирать оптимальные решения, оценивать эффективность методик. </w:t>
            </w:r>
          </w:p>
        </w:tc>
      </w:tr>
      <w:tr w14:paraId="711D9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288" w:type="dxa"/>
            </w:tcMar>
            <w:vAlign w:val="center"/>
          </w:tcPr>
          <w:p w14:paraId="25DC93AE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Эмоциональный интеллект</w:t>
            </w:r>
          </w:p>
        </w:tc>
        <w:tc>
          <w:tcPr>
            <w:tcW w:w="0" w:type="auto"/>
            <w:shd w:val="clear" w:color="auto" w:fill="FFFFFF"/>
            <w:tcMar>
              <w:top w:w="96" w:type="dxa"/>
              <w:left w:w="288" w:type="dxa"/>
              <w:bottom w:w="96" w:type="dxa"/>
              <w:right w:w="288" w:type="dxa"/>
            </w:tcMar>
            <w:vAlign w:val="center"/>
          </w:tcPr>
          <w:p w14:paraId="06DC58B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Эмпатия, самоконтроль, умение влиять на эмоциональное состояние коллектива. </w:t>
            </w:r>
          </w:p>
        </w:tc>
      </w:tr>
      <w:tr w14:paraId="5B535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288" w:type="dxa"/>
            </w:tcMar>
            <w:vAlign w:val="center"/>
          </w:tcPr>
          <w:p w14:paraId="7AB7DD15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Инициативность</w:t>
            </w:r>
          </w:p>
        </w:tc>
        <w:tc>
          <w:tcPr>
            <w:tcW w:w="0" w:type="auto"/>
            <w:shd w:val="clear" w:color="auto" w:fill="FFFFFF"/>
            <w:tcMar>
              <w:top w:w="96" w:type="dxa"/>
              <w:left w:w="288" w:type="dxa"/>
              <w:bottom w:w="96" w:type="dxa"/>
              <w:right w:w="288" w:type="dxa"/>
            </w:tcMar>
            <w:vAlign w:val="center"/>
          </w:tcPr>
          <w:p w14:paraId="09B52C8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Готовность предлагать новые идеи, брать на себя ответственность за их реализацию. </w:t>
            </w:r>
          </w:p>
        </w:tc>
      </w:tr>
      <w:tr w14:paraId="74C99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96" w:type="dxa"/>
              <w:left w:w="0" w:type="dxa"/>
              <w:bottom w:w="96" w:type="dxa"/>
              <w:right w:w="288" w:type="dxa"/>
            </w:tcMar>
            <w:vAlign w:val="center"/>
          </w:tcPr>
          <w:p w14:paraId="14892C59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Стратегическое мышление</w:t>
            </w:r>
          </w:p>
        </w:tc>
        <w:tc>
          <w:tcPr>
            <w:tcW w:w="0" w:type="auto"/>
            <w:shd w:val="clear" w:color="auto" w:fill="FFFFFF"/>
            <w:tcMar>
              <w:top w:w="96" w:type="dxa"/>
              <w:left w:w="288" w:type="dxa"/>
              <w:bottom w:w="96" w:type="dxa"/>
              <w:right w:w="288" w:type="dxa"/>
            </w:tcMar>
            <w:vAlign w:val="center"/>
          </w:tcPr>
          <w:p w14:paraId="2D722B5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8"/>
                <w:szCs w:val="28"/>
                <w:lang w:val="en-US" w:eastAsia="zh-CN" w:bidi="ar"/>
              </w:rPr>
              <w:t>Способность видеть перспективу, формулировать видение развития методической работы. </w:t>
            </w:r>
          </w:p>
        </w:tc>
      </w:tr>
    </w:tbl>
    <w:p w14:paraId="73966EBA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Методы развития лидерских качеств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:</w:t>
      </w:r>
    </w:p>
    <w:p w14:paraId="0F81669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Тренинги и семинары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по лидерству, управлению, коммуникациям, эмоциональному интеллекту. </w:t>
      </w:r>
    </w:p>
    <w:p w14:paraId="0E22BC5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Проектная деятельность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разработка и внедрение новых методических программ, координация образовательных проектов. </w:t>
      </w:r>
    </w:p>
    <w:p w14:paraId="193A636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Наставничество и менторство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работа с опытными лидерами в образовательной сфере. </w:t>
      </w:r>
    </w:p>
    <w:p w14:paraId="24627DA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Анализ кейсов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изучение реальных ситуаций и поиск оптимальных решений. </w:t>
      </w:r>
    </w:p>
    <w:p w14:paraId="2117A5B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Ролевые игры и деловые игры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моделирование профессиональных ситуаций, развитие навыков принятия решений и работы в команде. </w:t>
      </w:r>
    </w:p>
    <w:p w14:paraId="121B98F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Саморазвитие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чтение профессиональной литературы, участие в конференциях, курсы повышения квалификации. </w:t>
      </w:r>
    </w:p>
    <w:p w14:paraId="1323155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Условия эффективности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:</w:t>
      </w:r>
    </w:p>
    <w:p w14:paraId="0FA8A1B9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Системность и непрерывность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развитие лидерских качеств должно быть постоянным процессом, а не разовой акцией. </w:t>
      </w:r>
    </w:p>
    <w:p w14:paraId="627B8173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Поддержка со стороны организации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создание атмосферы, где поощряются инициатива, инновации и профессиональный рост. </w:t>
      </w:r>
    </w:p>
    <w:p w14:paraId="7710A4B6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Обратная связь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регулярный фидбэк от коллег и руководства помогает корректировать действия и укреплять лидерские навыки. </w:t>
      </w:r>
    </w:p>
    <w:p w14:paraId="0DCC8192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hanging="360"/>
        <w:textAlignment w:val="auto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Ценностно-идеологическое воспитание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</w:rPr>
        <w:t> — формирование устойчивых нравственных ориентиров, чувства ответственности перед коллективом и обществом. </w:t>
      </w:r>
    </w:p>
    <w:p w14:paraId="4C13F9F1">
      <w:pPr>
        <w:pStyle w:val="8"/>
        <w:rPr>
          <w:rStyle w:val="9"/>
        </w:rPr>
      </w:pPr>
    </w:p>
    <w:p w14:paraId="39F9C670">
      <w:pPr>
        <w:keepNext/>
        <w:jc w:val="left"/>
      </w:pPr>
      <w:r>
        <w:drawing>
          <wp:inline distT="0" distB="0" distL="114300" distR="114300">
            <wp:extent cx="4656455" cy="1753235"/>
            <wp:effectExtent l="0" t="0" r="6985" b="14605"/>
            <wp:docPr id="12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6455" cy="175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22398">
      <w:pPr>
        <w:jc w:val="center"/>
        <w:rPr>
          <w:sz w:val="20"/>
          <w:szCs w:val="20"/>
        </w:rPr>
      </w:pPr>
      <w:r>
        <w:rPr>
          <w:rStyle w:val="9"/>
          <w:sz w:val="20"/>
          <w:szCs w:val="20"/>
        </w:rPr>
        <w:t>Рисунок 3 — Схема психологических факторов, влияющих на формирование лидерских качеств у методистов</w:t>
      </w:r>
    </w:p>
    <w:p w14:paraId="591A7F10">
      <w:pPr>
        <w:sectPr>
          <w:footerReference r:id="rId3" w:type="default"/>
          <w:pgSz w:w="11905" w:h="16837"/>
          <w:pgMar w:top="1133" w:right="566" w:bottom="1133" w:left="1700" w:header="720" w:footer="720" w:gutter="0"/>
          <w:pgNumType w:fmt="decimal"/>
          <w:cols w:space="720" w:num="1"/>
        </w:sectPr>
      </w:pPr>
    </w:p>
    <w:p w14:paraId="09403A0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84012">
    <w:pPr>
      <w:pStyle w:val="11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Текстовое поле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5C2BF9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9"/>
                            </w:rPr>
                            <w:instrText xml:space="preserve">PAGE</w:instrText>
                          </w:r>
                          <w:r>
                            <w:fldChar w:fldCharType="separate"/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Текстовое поле 1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NJWO7QAAAABQEAAA8AAAAAAAAAAQAgAAAAIgAAAGRycy9kb3du&#10;cmV2LnhtbFBLAQIUABQAAAAIAIdO4kDARNKTQAIAAHUEAAAOAAAAAAAAAAEAIAAAAB8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5C2BF9">
                    <w:pPr>
                      <w:pStyle w:val="11"/>
                    </w:pPr>
                    <w:r>
                      <w:fldChar w:fldCharType="begin"/>
                    </w:r>
                    <w:r>
                      <w:rPr>
                        <w:rStyle w:val="9"/>
                      </w:rPr>
                      <w:instrText xml:space="preserve">PAGE</w:instrText>
                    </w:r>
                    <w:r>
                      <w:fldChar w:fldCharType="separate"/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879B42"/>
    <w:multiLevelType w:val="multilevel"/>
    <w:tmpl w:val="9D879B4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C39B1170"/>
    <w:multiLevelType w:val="multilevel"/>
    <w:tmpl w:val="C39B117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D3B9F"/>
    <w:rsid w:val="652D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00"/>
      <w:jc w:val="both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link w:val="10"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7">
    <w:name w:val="Strong"/>
    <w:basedOn w:val="4"/>
    <w:qFormat/>
    <w:uiPriority w:val="0"/>
    <w:rPr>
      <w:b/>
      <w:bCs/>
    </w:rPr>
  </w:style>
  <w:style w:type="paragraph" w:customStyle="1" w:styleId="8">
    <w:name w:val="paragraphStyleText"/>
    <w:basedOn w:val="1"/>
    <w:qFormat/>
    <w:uiPriority w:val="0"/>
    <w:pPr>
      <w:spacing w:after="0" w:line="360" w:lineRule="auto"/>
      <w:ind w:left="0" w:right="0" w:firstLine="720"/>
      <w:jc w:val="both"/>
    </w:pPr>
  </w:style>
  <w:style w:type="character" w:customStyle="1" w:styleId="9">
    <w:name w:val="fontStyleText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character" w:customStyle="1" w:styleId="10">
    <w:name w:val="Заголовок 4 Char"/>
    <w:link w:val="3"/>
    <w:qFormat/>
    <w:uiPriority w:val="0"/>
    <w:rPr>
      <w:b/>
      <w:bCs/>
      <w:kern w:val="0"/>
      <w:sz w:val="28"/>
      <w:szCs w:val="28"/>
    </w:rPr>
  </w:style>
  <w:style w:type="paragraph" w:customStyle="1" w:styleId="11">
    <w:name w:val="paragraphStylePageNum"/>
    <w:basedOn w:val="1"/>
    <w:qFormat/>
    <w:uiPriority w:val="0"/>
    <w:pPr>
      <w:spacing w:after="100"/>
      <w:jc w:val="righ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2026-05-15T08:20:00Z</dcterms:created>
  <dc:creator>WPS_1705225071</dc:creator>
  <cp:lastModifiedBy>WPS_1705225071</cp:lastModifiedBy>
  <dcterms:modified xsi:type="dcterms:W3CDTF">2026-05-15T08:26:41Z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1033-12.1.0.26372</vt:lpwstr>
  </property>
  <property fmtid="{D5CDD505-2E9C-101B-9397-08002B2CF9AE}" pid="3" name="ICV">
    <vt:lpwstr>F5E3692C88764EFE91291A3281BCCBC7_11</vt:lpwstr>
  </property>
  <property fmtid="{D5CDD505-2E9C-101B-9397-08002B2CF9AE}" pid="4" name="KSOTemplateDocerSaveRecord">
    <vt:lpwstr>eyJoZGlkIjoiMzY4M2IwYmZlZTAxNjQyYTBiNDQzOGQ4YjBmMjdlODYiLCJ1c2VySWQiOiI4NDIzMTgzNzkxOTEifQ==</vt:lpwstr>
  </property>
</Properties>
</file>