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12" w:rsidRPr="00C42E12" w:rsidRDefault="00C42E12" w:rsidP="00C866E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42E12">
        <w:rPr>
          <w:rFonts w:ascii="Times New Roman" w:hAnsi="Times New Roman" w:cs="Times New Roman"/>
          <w:b/>
          <w:sz w:val="32"/>
          <w:szCs w:val="28"/>
        </w:rPr>
        <w:t>Портфель реальных инвестиций: особенности его форм</w:t>
      </w:r>
      <w:r w:rsidRPr="00C42E12">
        <w:rPr>
          <w:rFonts w:ascii="Times New Roman" w:hAnsi="Times New Roman" w:cs="Times New Roman"/>
          <w:b/>
          <w:sz w:val="32"/>
          <w:szCs w:val="28"/>
        </w:rPr>
        <w:t>и</w:t>
      </w:r>
      <w:r w:rsidRPr="00C42E12">
        <w:rPr>
          <w:rFonts w:ascii="Times New Roman" w:hAnsi="Times New Roman" w:cs="Times New Roman"/>
          <w:b/>
          <w:sz w:val="32"/>
          <w:szCs w:val="28"/>
        </w:rPr>
        <w:t>рования</w:t>
      </w:r>
    </w:p>
    <w:p w:rsidR="00C42E12" w:rsidRPr="00C42E12" w:rsidRDefault="00C42E12" w:rsidP="00C866EC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42E12">
        <w:rPr>
          <w:rFonts w:ascii="Times New Roman" w:hAnsi="Times New Roman" w:cs="Times New Roman"/>
          <w:sz w:val="28"/>
          <w:szCs w:val="28"/>
          <w:lang w:val="en-US"/>
        </w:rPr>
        <w:t>Real Investment Portfolio: Features of Its Formation</w:t>
      </w:r>
    </w:p>
    <w:p w:rsidR="00E00208" w:rsidRPr="00E00208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Научный руководитель </w:t>
      </w:r>
      <w:r w:rsidR="00E00208" w:rsidRPr="00E00208">
        <w:rPr>
          <w:rFonts w:ascii="Times New Roman" w:hAnsi="Times New Roman" w:cs="Times New Roman"/>
          <w:sz w:val="28"/>
          <w:szCs w:val="28"/>
        </w:rPr>
        <w:t>Селина Ольга Викторовна, Доцент</w:t>
      </w:r>
    </w:p>
    <w:p w:rsidR="00C42E12" w:rsidRPr="001D28AD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8AD">
        <w:rPr>
          <w:rFonts w:ascii="Times New Roman" w:hAnsi="Times New Roman" w:cs="Times New Roman"/>
          <w:sz w:val="28"/>
          <w:szCs w:val="28"/>
        </w:rPr>
        <w:t>кафедры</w:t>
      </w:r>
      <w:r>
        <w:rPr>
          <w:rFonts w:ascii="Times New Roman" w:hAnsi="Times New Roman" w:cs="Times New Roman"/>
          <w:sz w:val="28"/>
          <w:szCs w:val="28"/>
        </w:rPr>
        <w:t xml:space="preserve"> экономики и управления</w:t>
      </w:r>
      <w:r w:rsidRPr="001D28AD">
        <w:rPr>
          <w:rFonts w:ascii="Times New Roman" w:hAnsi="Times New Roman" w:cs="Times New Roman"/>
          <w:sz w:val="28"/>
          <w:szCs w:val="28"/>
        </w:rPr>
        <w:t>.</w:t>
      </w:r>
    </w:p>
    <w:p w:rsid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Уральский государственный университет путей сообщения </w:t>
      </w:r>
    </w:p>
    <w:p w:rsid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Россия. Г Екатеринбург </w:t>
      </w:r>
    </w:p>
    <w:p w:rsidR="00C42E12" w:rsidRPr="001D28AD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Сергеева Мария Дмитриевна</w:t>
      </w:r>
    </w:p>
    <w:p w:rsid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</w:t>
      </w:r>
    </w:p>
    <w:p w:rsidR="00C42E12" w:rsidRPr="001D28AD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8AD">
        <w:rPr>
          <w:rFonts w:ascii="Times New Roman" w:hAnsi="Times New Roman" w:cs="Times New Roman"/>
          <w:sz w:val="28"/>
          <w:szCs w:val="28"/>
        </w:rPr>
        <w:t xml:space="preserve">3 курс «Факультет экономики и управления» </w:t>
      </w:r>
    </w:p>
    <w:p w:rsid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Уральский государственный университет путей сообщения</w:t>
      </w:r>
    </w:p>
    <w:p w:rsidR="00C42E12" w:rsidRPr="001D28AD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Россия</w:t>
      </w:r>
      <w:r w:rsidRPr="00C42E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Екатеринбург</w:t>
      </w:r>
      <w:r w:rsidRPr="001D2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00208" w:rsidRPr="00E00208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Scientific supervisor</w:t>
      </w:r>
      <w:r w:rsidRPr="00191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E00208" w:rsidRPr="00E00208">
        <w:rPr>
          <w:rFonts w:ascii="Times New Roman" w:hAnsi="Times New Roman" w:cs="Times New Roman"/>
          <w:b/>
          <w:sz w:val="28"/>
          <w:szCs w:val="28"/>
          <w:lang w:val="en-US"/>
        </w:rPr>
        <w:t>Selina</w:t>
      </w:r>
      <w:proofErr w:type="spellEnd"/>
      <w:r w:rsidR="00E00208" w:rsidRPr="00E002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Olga </w:t>
      </w:r>
      <w:proofErr w:type="spellStart"/>
      <w:r w:rsidR="00E00208" w:rsidRPr="00E00208">
        <w:rPr>
          <w:rFonts w:ascii="Times New Roman" w:hAnsi="Times New Roman" w:cs="Times New Roman"/>
          <w:b/>
          <w:sz w:val="28"/>
          <w:szCs w:val="28"/>
          <w:lang w:val="en-US"/>
        </w:rPr>
        <w:t>Viktorovna</w:t>
      </w:r>
      <w:proofErr w:type="spellEnd"/>
      <w:r w:rsidR="00E00208" w:rsidRPr="00E00208">
        <w:rPr>
          <w:rFonts w:ascii="Times New Roman" w:hAnsi="Times New Roman" w:cs="Times New Roman"/>
          <w:b/>
          <w:sz w:val="28"/>
          <w:szCs w:val="28"/>
          <w:lang w:val="en-US"/>
        </w:rPr>
        <w:t>, Associate Professor</w:t>
      </w:r>
    </w:p>
    <w:p w:rsidR="00C42E12" w:rsidRDefault="00E00208" w:rsidP="00C866E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E00208">
        <w:rPr>
          <w:rFonts w:ascii="Times New Roman" w:hAnsi="Times New Roman" w:cs="Times New Roman"/>
          <w:b/>
          <w:sz w:val="28"/>
          <w:szCs w:val="28"/>
          <w:lang w:val="en-US"/>
        </w:rPr>
        <w:t>Department of Economics and Management.</w:t>
      </w:r>
      <w:proofErr w:type="gramEnd"/>
    </w:p>
    <w:p w:rsidR="00C42E12" w:rsidRPr="008B3D96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3D96">
        <w:rPr>
          <w:rFonts w:ascii="Times New Roman" w:hAnsi="Times New Roman" w:cs="Times New Roman"/>
          <w:sz w:val="28"/>
          <w:szCs w:val="28"/>
          <w:lang w:val="en-US"/>
        </w:rPr>
        <w:t xml:space="preserve">Ural Federal State University of Railway transport </w:t>
      </w:r>
    </w:p>
    <w:p w:rsidR="00C42E12" w:rsidRP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3D96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C42E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8B3D96">
        <w:rPr>
          <w:rFonts w:ascii="Times New Roman" w:hAnsi="Times New Roman" w:cs="Times New Roman"/>
          <w:sz w:val="28"/>
          <w:szCs w:val="28"/>
          <w:lang w:val="en-US"/>
        </w:rPr>
        <w:t>Yekaterinburg</w:t>
      </w:r>
      <w:r w:rsidRPr="00C42E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2E12" w:rsidRPr="001D28AD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3D96">
        <w:rPr>
          <w:rFonts w:ascii="Times New Roman" w:hAnsi="Times New Roman" w:cs="Times New Roman"/>
          <w:sz w:val="28"/>
          <w:szCs w:val="28"/>
          <w:lang w:val="en-US"/>
        </w:rPr>
        <w:t>Stude</w:t>
      </w:r>
      <w:r>
        <w:rPr>
          <w:rFonts w:ascii="Times New Roman" w:hAnsi="Times New Roman" w:cs="Times New Roman"/>
          <w:sz w:val="28"/>
          <w:szCs w:val="28"/>
          <w:lang w:val="en-US"/>
        </w:rPr>
        <w:t>nt</w:t>
      </w:r>
      <w:r w:rsidRPr="000C104D">
        <w:rPr>
          <w:lang w:val="en-US"/>
        </w:rPr>
        <w:t xml:space="preserve"> </w:t>
      </w:r>
      <w:proofErr w:type="spellStart"/>
      <w:r w:rsidRPr="000C104D">
        <w:rPr>
          <w:rFonts w:ascii="Times New Roman" w:hAnsi="Times New Roman" w:cs="Times New Roman"/>
          <w:sz w:val="28"/>
          <w:szCs w:val="28"/>
          <w:lang w:val="en-US"/>
        </w:rPr>
        <w:t>Sergeeva</w:t>
      </w:r>
      <w:proofErr w:type="spellEnd"/>
      <w:r w:rsidRPr="000C104D">
        <w:rPr>
          <w:rFonts w:ascii="Times New Roman" w:hAnsi="Times New Roman" w:cs="Times New Roman"/>
          <w:sz w:val="28"/>
          <w:szCs w:val="28"/>
          <w:lang w:val="en-US"/>
        </w:rPr>
        <w:t xml:space="preserve"> Maria </w:t>
      </w:r>
      <w:proofErr w:type="spellStart"/>
      <w:r w:rsidRPr="000C104D">
        <w:rPr>
          <w:rFonts w:ascii="Times New Roman" w:hAnsi="Times New Roman" w:cs="Times New Roman"/>
          <w:sz w:val="28"/>
          <w:szCs w:val="28"/>
          <w:lang w:val="en-US"/>
        </w:rPr>
        <w:t>Dmitrievna</w:t>
      </w:r>
      <w:proofErr w:type="spellEnd"/>
      <w:r w:rsidRPr="000C10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C104D">
        <w:rPr>
          <w:rFonts w:ascii="Times New Roman" w:hAnsi="Times New Roman" w:cs="Times New Roman"/>
          <w:sz w:val="28"/>
          <w:szCs w:val="28"/>
          <w:lang w:val="en-US"/>
        </w:rPr>
        <w:t>3rd year, "Faculty of Economics and Management"</w:t>
      </w:r>
    </w:p>
    <w:p w:rsidR="00C42E12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3D96">
        <w:rPr>
          <w:rFonts w:ascii="Times New Roman" w:hAnsi="Times New Roman" w:cs="Times New Roman"/>
          <w:sz w:val="28"/>
          <w:szCs w:val="28"/>
          <w:lang w:val="en-US"/>
        </w:rPr>
        <w:t xml:space="preserve">Ural Federal State University of Railway transport </w:t>
      </w:r>
    </w:p>
    <w:p w:rsidR="00C42E12" w:rsidRPr="00687D96" w:rsidRDefault="00C42E12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1D28A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Yekaterinburg</w:t>
      </w:r>
    </w:p>
    <w:p w:rsidR="007334AF" w:rsidRDefault="007334AF" w:rsidP="00C866E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7CE4">
        <w:rPr>
          <w:rFonts w:ascii="Times New Roman" w:hAnsi="Times New Roman" w:cs="Times New Roman"/>
          <w:b/>
          <w:sz w:val="32"/>
          <w:szCs w:val="32"/>
        </w:rPr>
        <w:t>Аннотация</w:t>
      </w:r>
    </w:p>
    <w:p w:rsidR="00A74D0D" w:rsidRDefault="00A74D0D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A74D0D">
        <w:rPr>
          <w:rFonts w:ascii="Times New Roman" w:hAnsi="Times New Roman" w:cs="Times New Roman"/>
          <w:sz w:val="28"/>
          <w:szCs w:val="32"/>
        </w:rPr>
        <w:t>В статье разобраны особенности формирования портфеля реальных и</w:t>
      </w:r>
      <w:r w:rsidRPr="00A74D0D">
        <w:rPr>
          <w:rFonts w:ascii="Times New Roman" w:hAnsi="Times New Roman" w:cs="Times New Roman"/>
          <w:sz w:val="28"/>
          <w:szCs w:val="32"/>
        </w:rPr>
        <w:t>н</w:t>
      </w:r>
      <w:r w:rsidRPr="00A74D0D">
        <w:rPr>
          <w:rFonts w:ascii="Times New Roman" w:hAnsi="Times New Roman" w:cs="Times New Roman"/>
          <w:sz w:val="28"/>
          <w:szCs w:val="32"/>
        </w:rPr>
        <w:t>вестиций в России. Показаны отличия от западного подхода. Приведены да</w:t>
      </w:r>
      <w:r w:rsidRPr="00A74D0D">
        <w:rPr>
          <w:rFonts w:ascii="Times New Roman" w:hAnsi="Times New Roman" w:cs="Times New Roman"/>
          <w:sz w:val="28"/>
          <w:szCs w:val="32"/>
        </w:rPr>
        <w:t>н</w:t>
      </w:r>
      <w:r w:rsidRPr="00A74D0D">
        <w:rPr>
          <w:rFonts w:ascii="Times New Roman" w:hAnsi="Times New Roman" w:cs="Times New Roman"/>
          <w:sz w:val="28"/>
          <w:szCs w:val="32"/>
        </w:rPr>
        <w:lastRenderedPageBreak/>
        <w:t xml:space="preserve">ные </w:t>
      </w:r>
      <w:proofErr w:type="gramStart"/>
      <w:r w:rsidRPr="00A74D0D">
        <w:rPr>
          <w:rFonts w:ascii="Times New Roman" w:hAnsi="Times New Roman" w:cs="Times New Roman"/>
          <w:sz w:val="28"/>
          <w:szCs w:val="32"/>
        </w:rPr>
        <w:t>стресс-тестов</w:t>
      </w:r>
      <w:proofErr w:type="gramEnd"/>
      <w:r w:rsidRPr="00A74D0D">
        <w:rPr>
          <w:rFonts w:ascii="Times New Roman" w:hAnsi="Times New Roman" w:cs="Times New Roman"/>
          <w:sz w:val="28"/>
          <w:szCs w:val="32"/>
        </w:rPr>
        <w:t xml:space="preserve"> и сравнение стратегий таких как, 60/40, Всепогодный, портфель Брауна. Вывод в 2025</w:t>
      </w:r>
      <w:r w:rsidR="00580D0C">
        <w:rPr>
          <w:rFonts w:ascii="Times New Roman" w:hAnsi="Times New Roman" w:cs="Times New Roman"/>
          <w:sz w:val="28"/>
          <w:szCs w:val="32"/>
        </w:rPr>
        <w:t>-</w:t>
      </w:r>
      <w:r w:rsidRPr="00A74D0D">
        <w:rPr>
          <w:rFonts w:ascii="Times New Roman" w:hAnsi="Times New Roman" w:cs="Times New Roman"/>
          <w:sz w:val="28"/>
          <w:szCs w:val="32"/>
        </w:rPr>
        <w:t xml:space="preserve">2026 годах ключевые критерии </w:t>
      </w:r>
      <w:r w:rsidR="00580D0C">
        <w:rPr>
          <w:rFonts w:ascii="Times New Roman" w:hAnsi="Times New Roman" w:cs="Times New Roman"/>
          <w:sz w:val="28"/>
          <w:szCs w:val="32"/>
        </w:rPr>
        <w:t>-</w:t>
      </w:r>
      <w:r w:rsidRPr="00A74D0D">
        <w:rPr>
          <w:rFonts w:ascii="Times New Roman" w:hAnsi="Times New Roman" w:cs="Times New Roman"/>
          <w:sz w:val="28"/>
          <w:szCs w:val="32"/>
        </w:rPr>
        <w:t xml:space="preserve"> ликви</w:t>
      </w:r>
      <w:r w:rsidRPr="00A74D0D">
        <w:rPr>
          <w:rFonts w:ascii="Times New Roman" w:hAnsi="Times New Roman" w:cs="Times New Roman"/>
          <w:sz w:val="28"/>
          <w:szCs w:val="32"/>
        </w:rPr>
        <w:t>д</w:t>
      </w:r>
      <w:r w:rsidRPr="00A74D0D">
        <w:rPr>
          <w:rFonts w:ascii="Times New Roman" w:hAnsi="Times New Roman" w:cs="Times New Roman"/>
          <w:sz w:val="28"/>
          <w:szCs w:val="32"/>
        </w:rPr>
        <w:t>ность, срок окупаемости, защитные активы - золото.</w:t>
      </w:r>
    </w:p>
    <w:p w:rsidR="00A74D0D" w:rsidRPr="00BF3966" w:rsidRDefault="00A74D0D" w:rsidP="00C866E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866EC">
        <w:rPr>
          <w:rFonts w:ascii="Times New Roman" w:hAnsi="Times New Roman" w:cs="Times New Roman"/>
          <w:b/>
          <w:sz w:val="32"/>
          <w:szCs w:val="28"/>
          <w:lang w:val="en-US"/>
        </w:rPr>
        <w:t>Annotation</w:t>
      </w:r>
    </w:p>
    <w:p w:rsidR="00A74D0D" w:rsidRDefault="00A74D0D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A74D0D">
        <w:rPr>
          <w:rFonts w:ascii="Times New Roman" w:hAnsi="Times New Roman" w:cs="Times New Roman"/>
          <w:sz w:val="28"/>
          <w:szCs w:val="32"/>
          <w:lang w:val="en-US"/>
        </w:rPr>
        <w:t>The article analyzes the features of the formation of a portfolio of real i</w:t>
      </w:r>
      <w:r w:rsidRPr="00A74D0D">
        <w:rPr>
          <w:rFonts w:ascii="Times New Roman" w:hAnsi="Times New Roman" w:cs="Times New Roman"/>
          <w:sz w:val="28"/>
          <w:szCs w:val="32"/>
          <w:lang w:val="en-US"/>
        </w:rPr>
        <w:t>n</w:t>
      </w:r>
      <w:r w:rsidRPr="00A74D0D">
        <w:rPr>
          <w:rFonts w:ascii="Times New Roman" w:hAnsi="Times New Roman" w:cs="Times New Roman"/>
          <w:sz w:val="28"/>
          <w:szCs w:val="32"/>
          <w:lang w:val="en-US"/>
        </w:rPr>
        <w:t xml:space="preserve">vestments in Russia. The differences from the Western approach are shown. The data of stress tests and a comparison of strategies such as, 60/40, </w:t>
      </w:r>
      <w:proofErr w:type="gramStart"/>
      <w:r w:rsidRPr="00A74D0D">
        <w:rPr>
          <w:rFonts w:ascii="Times New Roman" w:hAnsi="Times New Roman" w:cs="Times New Roman"/>
          <w:sz w:val="28"/>
          <w:szCs w:val="32"/>
          <w:lang w:val="en-US"/>
        </w:rPr>
        <w:t>All-</w:t>
      </w:r>
      <w:proofErr w:type="gramEnd"/>
      <w:r w:rsidRPr="00A74D0D">
        <w:rPr>
          <w:rFonts w:ascii="Times New Roman" w:hAnsi="Times New Roman" w:cs="Times New Roman"/>
          <w:sz w:val="28"/>
          <w:szCs w:val="32"/>
          <w:lang w:val="en-US"/>
        </w:rPr>
        <w:t>weather, Brown por</w:t>
      </w:r>
      <w:r w:rsidRPr="00A74D0D">
        <w:rPr>
          <w:rFonts w:ascii="Times New Roman" w:hAnsi="Times New Roman" w:cs="Times New Roman"/>
          <w:sz w:val="28"/>
          <w:szCs w:val="32"/>
          <w:lang w:val="en-US"/>
        </w:rPr>
        <w:t>t</w:t>
      </w:r>
      <w:r w:rsidRPr="00A74D0D">
        <w:rPr>
          <w:rFonts w:ascii="Times New Roman" w:hAnsi="Times New Roman" w:cs="Times New Roman"/>
          <w:sz w:val="28"/>
          <w:szCs w:val="32"/>
          <w:lang w:val="en-US"/>
        </w:rPr>
        <w:t xml:space="preserve">folio are given. Conclusion: in 2025-2026, the key criteria are liquidity, payback period, </w:t>
      </w:r>
      <w:proofErr w:type="gramStart"/>
      <w:r w:rsidRPr="00A74D0D">
        <w:rPr>
          <w:rFonts w:ascii="Times New Roman" w:hAnsi="Times New Roman" w:cs="Times New Roman"/>
          <w:sz w:val="28"/>
          <w:szCs w:val="32"/>
          <w:lang w:val="en-US"/>
        </w:rPr>
        <w:t>protective</w:t>
      </w:r>
      <w:proofErr w:type="gramEnd"/>
      <w:r w:rsidRPr="00A74D0D">
        <w:rPr>
          <w:rFonts w:ascii="Times New Roman" w:hAnsi="Times New Roman" w:cs="Times New Roman"/>
          <w:sz w:val="28"/>
          <w:szCs w:val="32"/>
          <w:lang w:val="en-US"/>
        </w:rPr>
        <w:t xml:space="preserve"> assets - gold.</w:t>
      </w:r>
    </w:p>
    <w:p w:rsidR="00A74D0D" w:rsidRDefault="00A74D0D" w:rsidP="00C866EC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A74D0D">
        <w:rPr>
          <w:rFonts w:ascii="Times New Roman" w:hAnsi="Times New Roman" w:cs="Times New Roman"/>
          <w:b/>
          <w:bCs/>
          <w:sz w:val="28"/>
          <w:szCs w:val="32"/>
        </w:rPr>
        <w:t>Ключевые слова: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 w:rsidRPr="00A74D0D">
        <w:rPr>
          <w:rFonts w:ascii="Times New Roman" w:hAnsi="Times New Roman" w:cs="Times New Roman"/>
          <w:bCs/>
          <w:sz w:val="28"/>
          <w:szCs w:val="32"/>
        </w:rPr>
        <w:t>реальные инвестиции, инвестиционный портфель, российский подход, западные модели, ключевая ставка ЦБ</w:t>
      </w:r>
      <w:bookmarkStart w:id="0" w:name="_GoBack"/>
      <w:bookmarkEnd w:id="0"/>
      <w:r w:rsidRPr="00A74D0D">
        <w:rPr>
          <w:rFonts w:ascii="Times New Roman" w:hAnsi="Times New Roman" w:cs="Times New Roman"/>
          <w:bCs/>
          <w:sz w:val="28"/>
          <w:szCs w:val="32"/>
        </w:rPr>
        <w:t xml:space="preserve">, </w:t>
      </w:r>
      <w:proofErr w:type="gramStart"/>
      <w:r w:rsidRPr="00A74D0D">
        <w:rPr>
          <w:rFonts w:ascii="Times New Roman" w:hAnsi="Times New Roman" w:cs="Times New Roman"/>
          <w:bCs/>
          <w:sz w:val="28"/>
          <w:szCs w:val="32"/>
        </w:rPr>
        <w:t>стресс-тесты</w:t>
      </w:r>
      <w:proofErr w:type="gramEnd"/>
      <w:r w:rsidRPr="00A74D0D">
        <w:rPr>
          <w:rFonts w:ascii="Times New Roman" w:hAnsi="Times New Roman" w:cs="Times New Roman"/>
          <w:bCs/>
          <w:sz w:val="28"/>
          <w:szCs w:val="32"/>
        </w:rPr>
        <w:t>, стратегия 60/40, Всепогодный портфель, золото, сезонность инв</w:t>
      </w:r>
      <w:r w:rsidRPr="00A74D0D">
        <w:rPr>
          <w:rFonts w:ascii="Times New Roman" w:hAnsi="Times New Roman" w:cs="Times New Roman"/>
          <w:bCs/>
          <w:sz w:val="28"/>
          <w:szCs w:val="32"/>
        </w:rPr>
        <w:t>е</w:t>
      </w:r>
      <w:r w:rsidRPr="00A74D0D">
        <w:rPr>
          <w:rFonts w:ascii="Times New Roman" w:hAnsi="Times New Roman" w:cs="Times New Roman"/>
          <w:bCs/>
          <w:sz w:val="28"/>
          <w:szCs w:val="32"/>
        </w:rPr>
        <w:t>стиций</w:t>
      </w:r>
      <w:r>
        <w:rPr>
          <w:rFonts w:ascii="Times New Roman" w:hAnsi="Times New Roman" w:cs="Times New Roman"/>
          <w:bCs/>
          <w:sz w:val="28"/>
          <w:szCs w:val="32"/>
        </w:rPr>
        <w:t>.</w:t>
      </w:r>
    </w:p>
    <w:p w:rsidR="00A74D0D" w:rsidRPr="00A74D0D" w:rsidRDefault="00A74D0D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32"/>
          <w:lang w:val="en-US"/>
        </w:rPr>
      </w:pPr>
      <w:r w:rsidRPr="00A74D0D">
        <w:rPr>
          <w:rFonts w:ascii="Times New Roman" w:hAnsi="Times New Roman" w:cs="Times New Roman"/>
          <w:sz w:val="28"/>
          <w:szCs w:val="32"/>
          <w:lang w:val="en-US"/>
        </w:rPr>
        <w:t>Keywords: real investments, investment portfolio, Russian approach, Western models, Central Bank key rate, stress tests, 60/40 strategy, All-Weather portfolio, gold, investment seasonality.</w:t>
      </w:r>
    </w:p>
    <w:p w:rsidR="007334AF" w:rsidRPr="00C866EC" w:rsidRDefault="007334AF" w:rsidP="00C866EC">
      <w:pPr>
        <w:spacing w:after="200" w:line="36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 w:rsidRPr="00C866EC">
        <w:rPr>
          <w:rFonts w:ascii="Times New Roman" w:hAnsi="Times New Roman" w:cs="Times New Roman"/>
          <w:b/>
          <w:sz w:val="32"/>
          <w:szCs w:val="28"/>
        </w:rPr>
        <w:t>Введение</w:t>
      </w:r>
    </w:p>
    <w:p w:rsidR="00217238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Тема формирования портфеля реальных инвестиций приобретает ос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бую значимость в условиях современной экономической нестабильности. Для любого предприятия или частного инвестора вопрос заключается не пр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сто в том, куда вложить средства, а в том, как сформировать такую совоку</w:t>
      </w:r>
      <w:r w:rsidRPr="00BD1CD7">
        <w:rPr>
          <w:rFonts w:ascii="Times New Roman" w:hAnsi="Times New Roman" w:cs="Times New Roman"/>
          <w:sz w:val="28"/>
          <w:szCs w:val="28"/>
        </w:rPr>
        <w:t>п</w:t>
      </w:r>
      <w:r w:rsidRPr="00BD1CD7">
        <w:rPr>
          <w:rFonts w:ascii="Times New Roman" w:hAnsi="Times New Roman" w:cs="Times New Roman"/>
          <w:sz w:val="28"/>
          <w:szCs w:val="28"/>
        </w:rPr>
        <w:t>ность капитальных вложений, которая обеспечивала бы устойчивость бизн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са и прирост стоимости в долгосрочной перспективе. Реальные инвестиции, в отличие от спекулятивных операций на фондовом рынке, связаны с приобр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тением или</w:t>
      </w:r>
      <w:r>
        <w:rPr>
          <w:rFonts w:ascii="Times New Roman" w:hAnsi="Times New Roman" w:cs="Times New Roman"/>
          <w:sz w:val="28"/>
          <w:szCs w:val="28"/>
        </w:rPr>
        <w:t xml:space="preserve"> созданием физических активов - </w:t>
      </w:r>
      <w:r w:rsidRPr="00BD1CD7">
        <w:rPr>
          <w:rFonts w:ascii="Times New Roman" w:hAnsi="Times New Roman" w:cs="Times New Roman"/>
          <w:sz w:val="28"/>
          <w:szCs w:val="28"/>
        </w:rPr>
        <w:t>оборудования, технологических линий, объектов недвижимости, что напрямую влияет на производственную мощность компании. В связи с этим подходы к формированию такого пор</w:t>
      </w:r>
      <w:r w:rsidRPr="00BD1CD7">
        <w:rPr>
          <w:rFonts w:ascii="Times New Roman" w:hAnsi="Times New Roman" w:cs="Times New Roman"/>
          <w:sz w:val="28"/>
          <w:szCs w:val="28"/>
        </w:rPr>
        <w:t>т</w:t>
      </w:r>
      <w:r w:rsidRPr="00BD1CD7">
        <w:rPr>
          <w:rFonts w:ascii="Times New Roman" w:hAnsi="Times New Roman" w:cs="Times New Roman"/>
          <w:sz w:val="28"/>
          <w:szCs w:val="28"/>
        </w:rPr>
        <w:lastRenderedPageBreak/>
        <w:t xml:space="preserve">феля требуют более глубокой проработки, чем при работе с финансовыми инструментами. </w:t>
      </w:r>
    </w:p>
    <w:p w:rsidR="00450C5C" w:rsidRPr="00C866EC" w:rsidRDefault="00450C5C" w:rsidP="00C866EC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 w:rsidRPr="00C866EC">
        <w:rPr>
          <w:rFonts w:ascii="Times New Roman" w:hAnsi="Times New Roman" w:cs="Times New Roman"/>
          <w:b/>
          <w:bCs/>
          <w:sz w:val="32"/>
          <w:szCs w:val="28"/>
        </w:rPr>
        <w:t>Для чего нужен портфель реальных инвестиций.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Фундамент для изучения портфельных инвестиций был заложен еще в середине прошлого века. Классическая теория Гарри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>, появивша</w:t>
      </w:r>
      <w:r w:rsidRPr="00BD1CD7">
        <w:rPr>
          <w:rFonts w:ascii="Times New Roman" w:hAnsi="Times New Roman" w:cs="Times New Roman"/>
          <w:sz w:val="28"/>
          <w:szCs w:val="28"/>
        </w:rPr>
        <w:t>я</w:t>
      </w:r>
      <w:r w:rsidRPr="00BD1CD7">
        <w:rPr>
          <w:rFonts w:ascii="Times New Roman" w:hAnsi="Times New Roman" w:cs="Times New Roman"/>
          <w:sz w:val="28"/>
          <w:szCs w:val="28"/>
        </w:rPr>
        <w:t>ся в 1950-х годах, впервые предложила математический аппарат для решения задачи распределения капитала между различными активами с целью мин</w:t>
      </w:r>
      <w:r w:rsidRPr="00BD1CD7">
        <w:rPr>
          <w:rFonts w:ascii="Times New Roman" w:hAnsi="Times New Roman" w:cs="Times New Roman"/>
          <w:sz w:val="28"/>
          <w:szCs w:val="28"/>
        </w:rPr>
        <w:t>и</w:t>
      </w:r>
      <w:r w:rsidRPr="00BD1CD7">
        <w:rPr>
          <w:rFonts w:ascii="Times New Roman" w:hAnsi="Times New Roman" w:cs="Times New Roman"/>
          <w:sz w:val="28"/>
          <w:szCs w:val="28"/>
        </w:rPr>
        <w:t xml:space="preserve">мизации риска при заданном уровне доходности [1]. Именно в рамках этой теории была сформулирована </w:t>
      </w:r>
      <w:r>
        <w:rPr>
          <w:rFonts w:ascii="Times New Roman" w:hAnsi="Times New Roman" w:cs="Times New Roman"/>
          <w:sz w:val="28"/>
          <w:szCs w:val="28"/>
        </w:rPr>
        <w:t>концепция "эффективной границы"</w:t>
      </w:r>
      <w:r w:rsidRPr="00BD1CD7">
        <w:rPr>
          <w:rFonts w:ascii="Times New Roman" w:hAnsi="Times New Roman" w:cs="Times New Roman"/>
          <w:sz w:val="28"/>
          <w:szCs w:val="28"/>
        </w:rPr>
        <w:t>, которая до сих пор служит ориентиром для инвесторов.</w:t>
      </w:r>
    </w:p>
    <w:p w:rsidR="00217238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Однако портфель реальных инвестиций имеет свою специфику. Если портфель ценных бумаг можно скорректировать за несколько минут, продав одни акции и купив другие, то изменение состава портфеля реальных инв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стиций требует существенных временных и финансовых затрат. Капитальные вложения в оборудование или строительство объекта невозможно быстро п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репрофилировать. Поэтому наряду с финансовыми критериями здесь учит</w:t>
      </w:r>
      <w:r w:rsidRPr="00BD1CD7">
        <w:rPr>
          <w:rFonts w:ascii="Times New Roman" w:hAnsi="Times New Roman" w:cs="Times New Roman"/>
          <w:sz w:val="28"/>
          <w:szCs w:val="28"/>
        </w:rPr>
        <w:t>ы</w:t>
      </w:r>
      <w:r w:rsidRPr="00BD1CD7">
        <w:rPr>
          <w:rFonts w:ascii="Times New Roman" w:hAnsi="Times New Roman" w:cs="Times New Roman"/>
          <w:sz w:val="28"/>
          <w:szCs w:val="28"/>
        </w:rPr>
        <w:t>ваются стратегические цели компании, технологическая совместимость пр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ектов и отраслевые особенности.</w:t>
      </w:r>
    </w:p>
    <w:p w:rsidR="00450C5C" w:rsidRPr="00C866EC" w:rsidRDefault="00450C5C" w:rsidP="00C866E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 w:rsidRPr="00C866EC">
        <w:rPr>
          <w:rFonts w:ascii="Times New Roman" w:hAnsi="Times New Roman" w:cs="Times New Roman"/>
          <w:b/>
          <w:sz w:val="32"/>
          <w:szCs w:val="28"/>
        </w:rPr>
        <w:t xml:space="preserve">Разница между </w:t>
      </w:r>
      <w:proofErr w:type="gramStart"/>
      <w:r w:rsidRPr="00C866EC">
        <w:rPr>
          <w:rFonts w:ascii="Times New Roman" w:hAnsi="Times New Roman" w:cs="Times New Roman"/>
          <w:b/>
          <w:sz w:val="32"/>
          <w:szCs w:val="28"/>
        </w:rPr>
        <w:t>российским</w:t>
      </w:r>
      <w:proofErr w:type="gramEnd"/>
      <w:r w:rsidRPr="00C866EC">
        <w:rPr>
          <w:rFonts w:ascii="Times New Roman" w:hAnsi="Times New Roman" w:cs="Times New Roman"/>
          <w:b/>
          <w:sz w:val="32"/>
          <w:szCs w:val="28"/>
        </w:rPr>
        <w:t xml:space="preserve"> и зарубежном подходами.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В зарубежной академической традиции преобладает количественный подход. Исследователи из США и Европы делают акцент на построение м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 xml:space="preserve">тематических моделей, расчет показателей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VaR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(стоимость под риском), и</w:t>
      </w:r>
      <w:r w:rsidRPr="00BD1CD7">
        <w:rPr>
          <w:rFonts w:ascii="Times New Roman" w:hAnsi="Times New Roman" w:cs="Times New Roman"/>
          <w:sz w:val="28"/>
          <w:szCs w:val="28"/>
        </w:rPr>
        <w:t>с</w:t>
      </w:r>
      <w:r w:rsidRPr="00BD1CD7">
        <w:rPr>
          <w:rFonts w:ascii="Times New Roman" w:hAnsi="Times New Roman" w:cs="Times New Roman"/>
          <w:sz w:val="28"/>
          <w:szCs w:val="28"/>
        </w:rPr>
        <w:t>пользование модели CAPM (ценообразование на рынке капитальных акт</w:t>
      </w:r>
      <w:r w:rsidRPr="00BD1CD7">
        <w:rPr>
          <w:rFonts w:ascii="Times New Roman" w:hAnsi="Times New Roman" w:cs="Times New Roman"/>
          <w:sz w:val="28"/>
          <w:szCs w:val="28"/>
        </w:rPr>
        <w:t>и</w:t>
      </w:r>
      <w:r w:rsidRPr="00BD1CD7">
        <w:rPr>
          <w:rFonts w:ascii="Times New Roman" w:hAnsi="Times New Roman" w:cs="Times New Roman"/>
          <w:sz w:val="28"/>
          <w:szCs w:val="28"/>
        </w:rPr>
        <w:t>вов). Российская научная школа, развивая западные идеи, вносит в них сущ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ственные коррективы, учитывающие высокую волатильность внутреннего рынка, зависимость от государственного регулирования и влияние нерыно</w:t>
      </w:r>
      <w:r w:rsidRPr="00BD1CD7">
        <w:rPr>
          <w:rFonts w:ascii="Times New Roman" w:hAnsi="Times New Roman" w:cs="Times New Roman"/>
          <w:sz w:val="28"/>
          <w:szCs w:val="28"/>
        </w:rPr>
        <w:t>ч</w:t>
      </w:r>
      <w:r w:rsidRPr="00BD1CD7">
        <w:rPr>
          <w:rFonts w:ascii="Times New Roman" w:hAnsi="Times New Roman" w:cs="Times New Roman"/>
          <w:sz w:val="28"/>
          <w:szCs w:val="28"/>
        </w:rPr>
        <w:t>ных факторов.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lastRenderedPageBreak/>
        <w:t>Таблица 1 - Сравнение подходов к формированию инвестиционного портфеля</w:t>
      </w:r>
    </w:p>
    <w:tbl>
      <w:tblPr>
        <w:tblStyle w:val="a3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2836"/>
        <w:gridCol w:w="3485"/>
        <w:gridCol w:w="4022"/>
      </w:tblGrid>
      <w:tr w:rsidR="00217238" w:rsidRPr="00BD1CD7" w:rsidTr="00CB798C">
        <w:trPr>
          <w:trHeight w:val="63"/>
        </w:trPr>
        <w:tc>
          <w:tcPr>
            <w:tcW w:w="2836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34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Зарубежные подх</w:t>
            </w: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ды (США, Европа)</w:t>
            </w:r>
          </w:p>
        </w:tc>
        <w:tc>
          <w:tcPr>
            <w:tcW w:w="4022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Российские подходы</w:t>
            </w:r>
          </w:p>
        </w:tc>
      </w:tr>
      <w:tr w:rsidR="00217238" w:rsidRPr="00BD1CD7" w:rsidTr="00CB798C">
        <w:trPr>
          <w:trHeight w:val="669"/>
        </w:trPr>
        <w:tc>
          <w:tcPr>
            <w:tcW w:w="2836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Основополо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ники</w:t>
            </w:r>
          </w:p>
        </w:tc>
        <w:tc>
          <w:tcPr>
            <w:tcW w:w="34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Марковиц</w:t>
            </w:r>
            <w:proofErr w:type="spellEnd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, У. Шарп, Р. </w:t>
            </w:r>
            <w:proofErr w:type="spellStart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Далио</w:t>
            </w:r>
            <w:proofErr w:type="spellEnd"/>
          </w:p>
        </w:tc>
        <w:tc>
          <w:tcPr>
            <w:tcW w:w="4022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В.В. Ковалев, И.А. Бланк, Т.В. Теплова</w:t>
            </w:r>
          </w:p>
        </w:tc>
      </w:tr>
      <w:tr w:rsidR="00217238" w:rsidRPr="00BD1CD7" w:rsidTr="00CB798C">
        <w:trPr>
          <w:trHeight w:val="692"/>
        </w:trPr>
        <w:tc>
          <w:tcPr>
            <w:tcW w:w="2836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портфеля</w:t>
            </w:r>
          </w:p>
        </w:tc>
        <w:tc>
          <w:tcPr>
            <w:tcW w:w="34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Максимизация дохо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ности при заданном риске </w:t>
            </w:r>
          </w:p>
        </w:tc>
        <w:tc>
          <w:tcPr>
            <w:tcW w:w="4022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Сохранение капитала и технологическая безопасность бизнеса на фоне высокой н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определенности [3]</w:t>
            </w:r>
          </w:p>
        </w:tc>
      </w:tr>
      <w:tr w:rsidR="00217238" w:rsidRPr="00BD1CD7" w:rsidTr="00CB798C">
        <w:trPr>
          <w:trHeight w:val="1250"/>
        </w:trPr>
        <w:tc>
          <w:tcPr>
            <w:tcW w:w="2836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Методология</w:t>
            </w:r>
          </w:p>
        </w:tc>
        <w:tc>
          <w:tcPr>
            <w:tcW w:w="34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Количественный ан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лиз (CAPM, MPT), стох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стическое моделиров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4022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Сочетание количестве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ных методов (дисконтиров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ние) и качественного анализа (оценка политических рисков, </w:t>
            </w:r>
            <w:proofErr w:type="spellStart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санкционной</w:t>
            </w:r>
            <w:proofErr w:type="spellEnd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 устойчивости)</w:t>
            </w:r>
          </w:p>
        </w:tc>
      </w:tr>
      <w:tr w:rsidR="00217238" w:rsidRPr="00BD1CD7" w:rsidTr="00CB798C">
        <w:trPr>
          <w:trHeight w:val="1046"/>
        </w:trPr>
        <w:tc>
          <w:tcPr>
            <w:tcW w:w="2836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Ребалансировка</w:t>
            </w:r>
            <w:proofErr w:type="spellEnd"/>
          </w:p>
        </w:tc>
        <w:tc>
          <w:tcPr>
            <w:tcW w:w="34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Фиксированные вр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менные интервалы (еж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квартально, ежегодно) [1]</w:t>
            </w:r>
          </w:p>
        </w:tc>
        <w:tc>
          <w:tcPr>
            <w:tcW w:w="4022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Часто привязана к измен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нию ключевой ставки ЦБ РФ или валютным скачкам [6]</w:t>
            </w:r>
          </w:p>
        </w:tc>
      </w:tr>
      <w:tr w:rsidR="00217238" w:rsidRPr="00BD1CD7" w:rsidTr="00CB798C">
        <w:trPr>
          <w:trHeight w:val="1022"/>
        </w:trPr>
        <w:tc>
          <w:tcPr>
            <w:tcW w:w="2836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Учет инфляции</w:t>
            </w:r>
          </w:p>
        </w:tc>
        <w:tc>
          <w:tcPr>
            <w:tcW w:w="34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Моделирование и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фляции через премию в ставке дисконтирования</w:t>
            </w:r>
          </w:p>
        </w:tc>
        <w:tc>
          <w:tcPr>
            <w:tcW w:w="4022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Прямая привязка к ключ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вой ставке и ожидаемому уровню инфляции, часто выд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ляется как отдельный фактор риска [6]</w:t>
            </w:r>
          </w:p>
        </w:tc>
      </w:tr>
    </w:tbl>
    <w:p w:rsidR="00217238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Как видно из таблицы, ключевое различие заключается в степени ада</w:t>
      </w:r>
      <w:r w:rsidRPr="00BD1CD7">
        <w:rPr>
          <w:rFonts w:ascii="Times New Roman" w:hAnsi="Times New Roman" w:cs="Times New Roman"/>
          <w:sz w:val="28"/>
          <w:szCs w:val="28"/>
        </w:rPr>
        <w:t>п</w:t>
      </w:r>
      <w:r w:rsidRPr="00BD1CD7">
        <w:rPr>
          <w:rFonts w:ascii="Times New Roman" w:hAnsi="Times New Roman" w:cs="Times New Roman"/>
          <w:sz w:val="28"/>
          <w:szCs w:val="28"/>
        </w:rPr>
        <w:t>тивности методологии. Западные модели предполагают относительно ст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бильную внешнюю среду, тогда как российские подходы изначально закл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дывают возможность резких изменений макроэкономических параметров.</w:t>
      </w:r>
    </w:p>
    <w:p w:rsidR="007334AF" w:rsidRPr="00C866EC" w:rsidRDefault="007334AF" w:rsidP="00C866E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 w:rsidRPr="00C866EC">
        <w:rPr>
          <w:rFonts w:ascii="Times New Roman" w:hAnsi="Times New Roman" w:cs="Times New Roman"/>
          <w:b/>
          <w:sz w:val="32"/>
          <w:szCs w:val="28"/>
        </w:rPr>
        <w:lastRenderedPageBreak/>
        <w:t>История формирования понятия «портфель реальных и</w:t>
      </w:r>
      <w:r w:rsidRPr="00C866EC">
        <w:rPr>
          <w:rFonts w:ascii="Times New Roman" w:hAnsi="Times New Roman" w:cs="Times New Roman"/>
          <w:b/>
          <w:sz w:val="32"/>
          <w:szCs w:val="28"/>
        </w:rPr>
        <w:t>н</w:t>
      </w:r>
      <w:r w:rsidRPr="00C866EC">
        <w:rPr>
          <w:rFonts w:ascii="Times New Roman" w:hAnsi="Times New Roman" w:cs="Times New Roman"/>
          <w:b/>
          <w:sz w:val="32"/>
          <w:szCs w:val="28"/>
        </w:rPr>
        <w:t>вест</w:t>
      </w:r>
      <w:r w:rsidRPr="00C866EC">
        <w:rPr>
          <w:rFonts w:ascii="Times New Roman" w:hAnsi="Times New Roman" w:cs="Times New Roman"/>
          <w:b/>
          <w:sz w:val="32"/>
          <w:szCs w:val="28"/>
        </w:rPr>
        <w:t>и</w:t>
      </w:r>
      <w:r w:rsidRPr="00C866EC">
        <w:rPr>
          <w:rFonts w:ascii="Times New Roman" w:hAnsi="Times New Roman" w:cs="Times New Roman"/>
          <w:b/>
          <w:sz w:val="32"/>
          <w:szCs w:val="28"/>
        </w:rPr>
        <w:t>ций».</w:t>
      </w:r>
    </w:p>
    <w:p w:rsidR="009357D3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Понятие "портфель реальных инвестиций" прошло длительный путь трансформации. В советский период его аналогом был план капитальных вложений, который формировался в централизованном порядке.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Структурно-логическая схема 1 - Формирование портфеля реальных и</w:t>
      </w:r>
      <w:r w:rsidRPr="00BD1CD7">
        <w:rPr>
          <w:rFonts w:ascii="Times New Roman" w:hAnsi="Times New Roman" w:cs="Times New Roman"/>
          <w:sz w:val="28"/>
          <w:szCs w:val="28"/>
        </w:rPr>
        <w:t>н</w:t>
      </w:r>
      <w:r w:rsidRPr="00BD1CD7">
        <w:rPr>
          <w:rFonts w:ascii="Times New Roman" w:hAnsi="Times New Roman" w:cs="Times New Roman"/>
          <w:sz w:val="28"/>
          <w:szCs w:val="28"/>
        </w:rPr>
        <w:t>вестиций</w:t>
      </w:r>
      <w:r w:rsidR="009357D3" w:rsidRPr="00BD1C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BEC0A6" wp14:editId="3EF19139">
            <wp:extent cx="6004560" cy="3032760"/>
            <wp:effectExtent l="0" t="19050" r="15240" b="3429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17238" w:rsidRPr="00BD1CD7" w:rsidRDefault="009357D3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17238" w:rsidRPr="00BD1CD7">
        <w:rPr>
          <w:rFonts w:ascii="Times New Roman" w:hAnsi="Times New Roman" w:cs="Times New Roman"/>
          <w:sz w:val="28"/>
          <w:szCs w:val="28"/>
        </w:rPr>
        <w:t xml:space="preserve"> истории развития подходов к формированию портфеля реальных и</w:t>
      </w:r>
      <w:r w:rsidR="00217238" w:rsidRPr="00BD1CD7">
        <w:rPr>
          <w:rFonts w:ascii="Times New Roman" w:hAnsi="Times New Roman" w:cs="Times New Roman"/>
          <w:sz w:val="28"/>
          <w:szCs w:val="28"/>
        </w:rPr>
        <w:t>н</w:t>
      </w:r>
      <w:r w:rsidR="00217238" w:rsidRPr="00BD1CD7">
        <w:rPr>
          <w:rFonts w:ascii="Times New Roman" w:hAnsi="Times New Roman" w:cs="Times New Roman"/>
          <w:sz w:val="28"/>
          <w:szCs w:val="28"/>
        </w:rPr>
        <w:t>вестиций в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217238" w:rsidRPr="00BD1CD7">
        <w:rPr>
          <w:rFonts w:ascii="Times New Roman" w:hAnsi="Times New Roman" w:cs="Times New Roman"/>
          <w:sz w:val="28"/>
          <w:szCs w:val="28"/>
        </w:rPr>
        <w:t xml:space="preserve"> можно выделить три крупных этапа.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1.  Первый этап: постсоветский </w:t>
      </w:r>
      <w:r>
        <w:rPr>
          <w:rFonts w:ascii="Times New Roman" w:hAnsi="Times New Roman" w:cs="Times New Roman"/>
          <w:sz w:val="28"/>
          <w:szCs w:val="28"/>
        </w:rPr>
        <w:t>(1990-е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начало 2000-х годов).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 В этот период системный подход к формированию инвестиционного портфеля практически отсутствовал. Инвестиции направлялись преимущ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ственно в сырьевой сектор, а решения принимались исходя из конъюнкту</w:t>
      </w:r>
      <w:r w:rsidRPr="00BD1CD7">
        <w:rPr>
          <w:rFonts w:ascii="Times New Roman" w:hAnsi="Times New Roman" w:cs="Times New Roman"/>
          <w:sz w:val="28"/>
          <w:szCs w:val="28"/>
        </w:rPr>
        <w:t>р</w:t>
      </w:r>
      <w:r w:rsidRPr="00BD1CD7">
        <w:rPr>
          <w:rFonts w:ascii="Times New Roman" w:hAnsi="Times New Roman" w:cs="Times New Roman"/>
          <w:sz w:val="28"/>
          <w:szCs w:val="28"/>
        </w:rPr>
        <w:t>ных соображений. Методология оценки рисков находилась на начальном уровне развития.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2.  Второй этап: стабили</w:t>
      </w:r>
      <w:r>
        <w:rPr>
          <w:rFonts w:ascii="Times New Roman" w:hAnsi="Times New Roman" w:cs="Times New Roman"/>
          <w:sz w:val="28"/>
          <w:szCs w:val="28"/>
        </w:rPr>
        <w:t>зационный (2005 -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2014 годы).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lastRenderedPageBreak/>
        <w:t>Характеризуется активным внедрением международных стандартов ф</w:t>
      </w:r>
      <w:r w:rsidRPr="00BD1CD7">
        <w:rPr>
          <w:rFonts w:ascii="Times New Roman" w:hAnsi="Times New Roman" w:cs="Times New Roman"/>
          <w:sz w:val="28"/>
          <w:szCs w:val="28"/>
        </w:rPr>
        <w:t>и</w:t>
      </w:r>
      <w:r w:rsidRPr="00BD1CD7">
        <w:rPr>
          <w:rFonts w:ascii="Times New Roman" w:hAnsi="Times New Roman" w:cs="Times New Roman"/>
          <w:sz w:val="28"/>
          <w:szCs w:val="28"/>
        </w:rPr>
        <w:t>нансовой отчетности (МСФО) и методов дисконтирования денежных пот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ков. В этот период появляются первые программные продукты для пор</w:t>
      </w:r>
      <w:r w:rsidRPr="00BD1CD7">
        <w:rPr>
          <w:rFonts w:ascii="Times New Roman" w:hAnsi="Times New Roman" w:cs="Times New Roman"/>
          <w:sz w:val="28"/>
          <w:szCs w:val="28"/>
        </w:rPr>
        <w:t>т</w:t>
      </w:r>
      <w:r w:rsidRPr="00BD1CD7">
        <w:rPr>
          <w:rFonts w:ascii="Times New Roman" w:hAnsi="Times New Roman" w:cs="Times New Roman"/>
          <w:sz w:val="28"/>
          <w:szCs w:val="28"/>
        </w:rPr>
        <w:t>фельного анализа. Финансовый кризис 2008 года стал важным уроком, пок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завшим необходимость диверсификации не только по проектам, но и по в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лютам заимствования и привязки к разным рынкам сбыта.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3.  Третий этап: </w:t>
      </w:r>
      <w:r>
        <w:rPr>
          <w:rFonts w:ascii="Times New Roman" w:hAnsi="Times New Roman" w:cs="Times New Roman"/>
          <w:sz w:val="28"/>
          <w:szCs w:val="28"/>
        </w:rPr>
        <w:t>современный (2020 -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2025 годы).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 Это период высокой ключевой ставки Центрального банка и беспрец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 xml:space="preserve">дентного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давления. Основной особенност</w:t>
      </w:r>
      <w:r>
        <w:rPr>
          <w:rFonts w:ascii="Times New Roman" w:hAnsi="Times New Roman" w:cs="Times New Roman"/>
          <w:sz w:val="28"/>
          <w:szCs w:val="28"/>
        </w:rPr>
        <w:t>ью стало смещение приоритетов. Е</w:t>
      </w:r>
      <w:r w:rsidRPr="00BD1CD7">
        <w:rPr>
          <w:rFonts w:ascii="Times New Roman" w:hAnsi="Times New Roman" w:cs="Times New Roman"/>
          <w:sz w:val="28"/>
          <w:szCs w:val="28"/>
        </w:rPr>
        <w:t>сли ранее при оценке проектов на первый план выходила в</w:t>
      </w:r>
      <w:r w:rsidRPr="00BD1CD7">
        <w:rPr>
          <w:rFonts w:ascii="Times New Roman" w:hAnsi="Times New Roman" w:cs="Times New Roman"/>
          <w:sz w:val="28"/>
          <w:szCs w:val="28"/>
        </w:rPr>
        <w:t>ы</w:t>
      </w:r>
      <w:r w:rsidR="00AE6C7E">
        <w:rPr>
          <w:rFonts w:ascii="Times New Roman" w:hAnsi="Times New Roman" w:cs="Times New Roman"/>
          <w:sz w:val="28"/>
          <w:szCs w:val="28"/>
        </w:rPr>
        <w:t>сокая доходность</w:t>
      </w:r>
      <w:r w:rsidRPr="00BD1CD7">
        <w:rPr>
          <w:rFonts w:ascii="Times New Roman" w:hAnsi="Times New Roman" w:cs="Times New Roman"/>
          <w:sz w:val="28"/>
          <w:szCs w:val="28"/>
        </w:rPr>
        <w:t>, то в условиях 2025 года ключевыми критериями стали ликвидность и срок окупаемости. Как отмечает Юлия Карпова, представл</w:t>
      </w:r>
      <w:r w:rsidRPr="00BD1CD7">
        <w:rPr>
          <w:rFonts w:ascii="Times New Roman" w:hAnsi="Times New Roman" w:cs="Times New Roman"/>
          <w:sz w:val="28"/>
          <w:szCs w:val="28"/>
        </w:rPr>
        <w:t>я</w:t>
      </w:r>
      <w:r w:rsidRPr="00BD1CD7">
        <w:rPr>
          <w:rFonts w:ascii="Times New Roman" w:hAnsi="Times New Roman" w:cs="Times New Roman"/>
          <w:sz w:val="28"/>
          <w:szCs w:val="28"/>
        </w:rPr>
        <w:t>ющая ПСБ, в 2025 году инвесторы начали постепенно переориентироваться из "безопасной гавани" в "инструменты роста" по мере ожидаемого смягч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ния денежно-кредитной политики [3].</w:t>
      </w:r>
    </w:p>
    <w:p w:rsidR="00217238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В условиях 2024-2025 годов, характеризующихся высокой ключевой ставкой, российские компании вынуждены были пересмотреть свои подходы к управлению портфелем реальных инвестиций. Основной тенденцией стало сокращение доли "длинных" проектов с неопределенным сроком окупаем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 xml:space="preserve">сти в пользу проектов, способных принести быструю отдачу, или проектов, направленных на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>, где государственная поддержка сниж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ет риски.</w:t>
      </w:r>
    </w:p>
    <w:p w:rsidR="00450C5C" w:rsidRPr="00C866EC" w:rsidRDefault="00450C5C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  <w:r w:rsidRPr="00C866EC">
        <w:rPr>
          <w:rFonts w:ascii="Times New Roman" w:hAnsi="Times New Roman" w:cs="Times New Roman"/>
          <w:b/>
          <w:bCs/>
          <w:sz w:val="32"/>
          <w:szCs w:val="28"/>
        </w:rPr>
        <w:t xml:space="preserve">Результаты </w:t>
      </w:r>
      <w:proofErr w:type="gramStart"/>
      <w:r w:rsidRPr="00C866EC">
        <w:rPr>
          <w:rFonts w:ascii="Times New Roman" w:hAnsi="Times New Roman" w:cs="Times New Roman"/>
          <w:b/>
          <w:bCs/>
          <w:sz w:val="32"/>
          <w:szCs w:val="28"/>
        </w:rPr>
        <w:t>стресс-тестов</w:t>
      </w:r>
      <w:proofErr w:type="gramEnd"/>
      <w:r w:rsidRPr="00C866EC">
        <w:rPr>
          <w:rFonts w:ascii="Times New Roman" w:hAnsi="Times New Roman" w:cs="Times New Roman"/>
          <w:b/>
          <w:bCs/>
          <w:sz w:val="32"/>
          <w:szCs w:val="28"/>
        </w:rPr>
        <w:t xml:space="preserve"> и реальных стратегий.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Обратимся к результатам </w:t>
      </w:r>
      <w:proofErr w:type="gramStart"/>
      <w:r w:rsidRPr="00BD1CD7">
        <w:rPr>
          <w:rFonts w:ascii="Times New Roman" w:hAnsi="Times New Roman" w:cs="Times New Roman"/>
          <w:sz w:val="28"/>
          <w:szCs w:val="28"/>
        </w:rPr>
        <w:t>стресс-теста</w:t>
      </w:r>
      <w:proofErr w:type="gramEnd"/>
      <w:r w:rsidRPr="00BD1CD7">
        <w:rPr>
          <w:rFonts w:ascii="Times New Roman" w:hAnsi="Times New Roman" w:cs="Times New Roman"/>
          <w:sz w:val="28"/>
          <w:szCs w:val="28"/>
        </w:rPr>
        <w:t xml:space="preserve"> российских портфелей, проведе</w:t>
      </w:r>
      <w:r w:rsidRPr="00BD1CD7">
        <w:rPr>
          <w:rFonts w:ascii="Times New Roman" w:hAnsi="Times New Roman" w:cs="Times New Roman"/>
          <w:sz w:val="28"/>
          <w:szCs w:val="28"/>
        </w:rPr>
        <w:t>н</w:t>
      </w:r>
      <w:r w:rsidRPr="00BD1CD7">
        <w:rPr>
          <w:rFonts w:ascii="Times New Roman" w:hAnsi="Times New Roman" w:cs="Times New Roman"/>
          <w:sz w:val="28"/>
          <w:szCs w:val="28"/>
        </w:rPr>
        <w:t xml:space="preserve">ного Лабораторией исследований рынка инвестиций (ЛИРИ). </w:t>
      </w:r>
      <w:r w:rsidR="0009452B">
        <w:rPr>
          <w:rFonts w:ascii="Times New Roman" w:hAnsi="Times New Roman" w:cs="Times New Roman"/>
          <w:sz w:val="28"/>
          <w:szCs w:val="28"/>
        </w:rPr>
        <w:t>И</w:t>
      </w:r>
      <w:r w:rsidRPr="00BD1CD7">
        <w:rPr>
          <w:rFonts w:ascii="Times New Roman" w:hAnsi="Times New Roman" w:cs="Times New Roman"/>
          <w:sz w:val="28"/>
          <w:szCs w:val="28"/>
        </w:rPr>
        <w:t>сследов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ние показало, что классическая стратегия "60/40" (60% акции, 40% облиг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ции) в российских реалиях за период 2005-2024 годов демонстрировала ув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 xml:space="preserve">ренное опережение инфляции на 11% </w:t>
      </w:r>
      <w:r>
        <w:rPr>
          <w:rFonts w:ascii="Times New Roman" w:hAnsi="Times New Roman" w:cs="Times New Roman"/>
          <w:sz w:val="28"/>
          <w:szCs w:val="28"/>
        </w:rPr>
        <w:t xml:space="preserve">[1]. При этом </w:t>
      </w:r>
      <w:r w:rsidR="0009452B" w:rsidRPr="00BD1CD7">
        <w:rPr>
          <w:rFonts w:ascii="Times New Roman" w:hAnsi="Times New Roman" w:cs="Times New Roman"/>
          <w:sz w:val="28"/>
          <w:szCs w:val="28"/>
        </w:rPr>
        <w:t>разбалансировка</w:t>
      </w:r>
      <w:r w:rsidRPr="00BD1CD7">
        <w:rPr>
          <w:rFonts w:ascii="Times New Roman" w:hAnsi="Times New Roman" w:cs="Times New Roman"/>
          <w:sz w:val="28"/>
          <w:szCs w:val="28"/>
        </w:rPr>
        <w:t xml:space="preserve"> портф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 xml:space="preserve">ля чаще </w:t>
      </w:r>
      <w:r w:rsidRPr="00BD1CD7">
        <w:rPr>
          <w:rFonts w:ascii="Times New Roman" w:hAnsi="Times New Roman" w:cs="Times New Roman"/>
          <w:sz w:val="28"/>
          <w:szCs w:val="28"/>
        </w:rPr>
        <w:lastRenderedPageBreak/>
        <w:t>одного раза в полгода снижала итоговую доходность из-за накопления к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миссионных издержек [1]. Для сферы реальных инвестиций это озн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чает, что излишне частая смена инвестиционной политики, например, в ответ на ка</w:t>
      </w:r>
      <w:r w:rsidRPr="00BD1CD7">
        <w:rPr>
          <w:rFonts w:ascii="Times New Roman" w:hAnsi="Times New Roman" w:cs="Times New Roman"/>
          <w:sz w:val="28"/>
          <w:szCs w:val="28"/>
        </w:rPr>
        <w:t>ж</w:t>
      </w:r>
      <w:r w:rsidRPr="00BD1CD7">
        <w:rPr>
          <w:rFonts w:ascii="Times New Roman" w:hAnsi="Times New Roman" w:cs="Times New Roman"/>
          <w:sz w:val="28"/>
          <w:szCs w:val="28"/>
        </w:rPr>
        <w:t>дое колебание ключевой ставки, может привести к неоправданным п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терям.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Кроме того, в 2025 году Московская биржа представила расчет "Всеп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="0009452B">
        <w:rPr>
          <w:rFonts w:ascii="Times New Roman" w:hAnsi="Times New Roman" w:cs="Times New Roman"/>
          <w:sz w:val="28"/>
          <w:szCs w:val="28"/>
        </w:rPr>
        <w:t>годного портфеля"</w:t>
      </w:r>
      <w:r w:rsidRPr="00BD1CD7">
        <w:rPr>
          <w:rFonts w:ascii="Times New Roman" w:hAnsi="Times New Roman" w:cs="Times New Roman"/>
          <w:sz w:val="28"/>
          <w:szCs w:val="28"/>
        </w:rPr>
        <w:t>, адаптированного специально под российские условия. В его структуру вошли: 30% акций, 25% еврооблигаций, 15% корпоративных облигаций, 10% государственных облигаций, 10% инструментов денежного рынка и 10% золота [2]. По итогам 2025 года такой портфель показал рост на 13,4%, что почти вдвое превысило результат предыдущего года (6,8%) [2]. Данный факт наглядно подтверждает, что диверсификация с включением з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щитных активов (золото, денежный рынок) становится обязательным усл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вием успешного инвестирования.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Зарубежная практика формиро</w:t>
      </w:r>
      <w:r>
        <w:rPr>
          <w:rFonts w:ascii="Times New Roman" w:hAnsi="Times New Roman" w:cs="Times New Roman"/>
          <w:sz w:val="28"/>
          <w:szCs w:val="28"/>
        </w:rPr>
        <w:t>ва</w:t>
      </w:r>
      <w:r w:rsidR="0009452B">
        <w:rPr>
          <w:rFonts w:ascii="Times New Roman" w:hAnsi="Times New Roman" w:cs="Times New Roman"/>
          <w:sz w:val="28"/>
          <w:szCs w:val="28"/>
        </w:rPr>
        <w:t xml:space="preserve">ния инвестиционных портфелей, </w:t>
      </w:r>
      <w:r w:rsidRPr="00BD1CD7">
        <w:rPr>
          <w:rFonts w:ascii="Times New Roman" w:hAnsi="Times New Roman" w:cs="Times New Roman"/>
          <w:sz w:val="28"/>
          <w:szCs w:val="28"/>
        </w:rPr>
        <w:t>опир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ется на классические модели, но адаптирует их под условия глобального рынка капитала.</w:t>
      </w:r>
    </w:p>
    <w:p w:rsidR="00217238" w:rsidRPr="00BD1CD7" w:rsidRDefault="00217238" w:rsidP="00C866EC">
      <w:pPr>
        <w:pStyle w:val="a4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Опыт США.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 Здесь широкое распространение получила стратегия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Рэя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Далио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"Всеп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годный портфель", которая предполагает следующее распределение: 40% длинные государственные облигации, 30% акции, 15% среднесрочные обл</w:t>
      </w:r>
      <w:r w:rsidRPr="00BD1CD7">
        <w:rPr>
          <w:rFonts w:ascii="Times New Roman" w:hAnsi="Times New Roman" w:cs="Times New Roman"/>
          <w:sz w:val="28"/>
          <w:szCs w:val="28"/>
        </w:rPr>
        <w:t>и</w:t>
      </w:r>
      <w:r w:rsidRPr="00BD1CD7">
        <w:rPr>
          <w:rFonts w:ascii="Times New Roman" w:hAnsi="Times New Roman" w:cs="Times New Roman"/>
          <w:sz w:val="28"/>
          <w:szCs w:val="28"/>
        </w:rPr>
        <w:t>гации, 7,5% золото, 7,5% сырьевые товары [2]. Ключевое отличие от росси</w:t>
      </w:r>
      <w:r w:rsidRPr="00BD1CD7">
        <w:rPr>
          <w:rFonts w:ascii="Times New Roman" w:hAnsi="Times New Roman" w:cs="Times New Roman"/>
          <w:sz w:val="28"/>
          <w:szCs w:val="28"/>
        </w:rPr>
        <w:t>й</w:t>
      </w:r>
      <w:r w:rsidRPr="00BD1CD7">
        <w:rPr>
          <w:rFonts w:ascii="Times New Roman" w:hAnsi="Times New Roman" w:cs="Times New Roman"/>
          <w:sz w:val="28"/>
          <w:szCs w:val="28"/>
        </w:rPr>
        <w:t>ских аналогов заключается в высокой доле длинных государственных обл</w:t>
      </w:r>
      <w:r w:rsidRPr="00BD1CD7">
        <w:rPr>
          <w:rFonts w:ascii="Times New Roman" w:hAnsi="Times New Roman" w:cs="Times New Roman"/>
          <w:sz w:val="28"/>
          <w:szCs w:val="28"/>
        </w:rPr>
        <w:t>и</w:t>
      </w:r>
      <w:r w:rsidR="0009452B">
        <w:rPr>
          <w:rFonts w:ascii="Times New Roman" w:hAnsi="Times New Roman" w:cs="Times New Roman"/>
          <w:sz w:val="28"/>
          <w:szCs w:val="28"/>
        </w:rPr>
        <w:t>гаций</w:t>
      </w:r>
      <w:r w:rsidRPr="00BD1CD7">
        <w:rPr>
          <w:rFonts w:ascii="Times New Roman" w:hAnsi="Times New Roman" w:cs="Times New Roman"/>
          <w:sz w:val="28"/>
          <w:szCs w:val="28"/>
        </w:rPr>
        <w:t xml:space="preserve">, которые в США считаются практически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безрисковым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активом. В Ро</w:t>
      </w:r>
      <w:r w:rsidRPr="00BD1CD7">
        <w:rPr>
          <w:rFonts w:ascii="Times New Roman" w:hAnsi="Times New Roman" w:cs="Times New Roman"/>
          <w:sz w:val="28"/>
          <w:szCs w:val="28"/>
        </w:rPr>
        <w:t>с</w:t>
      </w:r>
      <w:r w:rsidRPr="00BD1CD7">
        <w:rPr>
          <w:rFonts w:ascii="Times New Roman" w:hAnsi="Times New Roman" w:cs="Times New Roman"/>
          <w:sz w:val="28"/>
          <w:szCs w:val="28"/>
        </w:rPr>
        <w:t>сии долгое время такой подход был затруднен из-за высоких инфляционных ожиданий.</w:t>
      </w:r>
    </w:p>
    <w:p w:rsidR="00217238" w:rsidRPr="00BD1CD7" w:rsidRDefault="00217238" w:rsidP="00C866EC">
      <w:pPr>
        <w:pStyle w:val="a4"/>
        <w:numPr>
          <w:ilvl w:val="0"/>
          <w:numId w:val="1"/>
        </w:num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Международная диверсификация.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 Зарубежные инвесторы имеют возможность активно использовать ге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графическую диверсификацию. Рекомендуемая структура портфеля для ме</w:t>
      </w:r>
      <w:r w:rsidRPr="00BD1CD7">
        <w:rPr>
          <w:rFonts w:ascii="Times New Roman" w:hAnsi="Times New Roman" w:cs="Times New Roman"/>
          <w:sz w:val="28"/>
          <w:szCs w:val="28"/>
        </w:rPr>
        <w:t>ж</w:t>
      </w:r>
      <w:r w:rsidRPr="00BD1CD7">
        <w:rPr>
          <w:rFonts w:ascii="Times New Roman" w:hAnsi="Times New Roman" w:cs="Times New Roman"/>
          <w:sz w:val="28"/>
          <w:szCs w:val="28"/>
        </w:rPr>
        <w:lastRenderedPageBreak/>
        <w:t>дународного инвестора включает 20-25% в ETF на развивающиеся рынки, 10-15% в физическое золото или ETF на золото, а также недвижимость в ра</w:t>
      </w:r>
      <w:r w:rsidRPr="00BD1CD7">
        <w:rPr>
          <w:rFonts w:ascii="Times New Roman" w:hAnsi="Times New Roman" w:cs="Times New Roman"/>
          <w:sz w:val="28"/>
          <w:szCs w:val="28"/>
        </w:rPr>
        <w:t>з</w:t>
      </w:r>
      <w:r w:rsidRPr="00BD1CD7">
        <w:rPr>
          <w:rFonts w:ascii="Times New Roman" w:hAnsi="Times New Roman" w:cs="Times New Roman"/>
          <w:sz w:val="28"/>
          <w:szCs w:val="28"/>
        </w:rPr>
        <w:t>личных странах через REIT-фонды [5]. В отличие от российских реалий, где доступ к зарубежным площадкам в последние годы ограничен, междунаро</w:t>
      </w:r>
      <w:r w:rsidRPr="00BD1CD7">
        <w:rPr>
          <w:rFonts w:ascii="Times New Roman" w:hAnsi="Times New Roman" w:cs="Times New Roman"/>
          <w:sz w:val="28"/>
          <w:szCs w:val="28"/>
        </w:rPr>
        <w:t>д</w:t>
      </w:r>
      <w:r w:rsidRPr="00BD1CD7">
        <w:rPr>
          <w:rFonts w:ascii="Times New Roman" w:hAnsi="Times New Roman" w:cs="Times New Roman"/>
          <w:sz w:val="28"/>
          <w:szCs w:val="28"/>
        </w:rPr>
        <w:t xml:space="preserve">ный инвестор может </w:t>
      </w:r>
      <w:r>
        <w:rPr>
          <w:rFonts w:ascii="Times New Roman" w:hAnsi="Times New Roman" w:cs="Times New Roman"/>
          <w:sz w:val="28"/>
          <w:szCs w:val="28"/>
        </w:rPr>
        <w:t xml:space="preserve">страховать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страновые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риски, распределяя капитал по 2-3 юрисдикциям [5].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Таблица 2 - Сравнение портфельных стратегий (2025 г.)</w:t>
      </w:r>
    </w:p>
    <w:tbl>
      <w:tblPr>
        <w:tblStyle w:val="a3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985"/>
        <w:gridCol w:w="2097"/>
        <w:gridCol w:w="2138"/>
        <w:gridCol w:w="2117"/>
        <w:gridCol w:w="2720"/>
      </w:tblGrid>
      <w:tr w:rsidR="00217238" w:rsidRPr="00BD1CD7" w:rsidTr="00CB798C">
        <w:trPr>
          <w:trHeight w:val="63"/>
        </w:trPr>
        <w:tc>
          <w:tcPr>
            <w:tcW w:w="19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Страт</w:t>
            </w: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гия</w:t>
            </w:r>
          </w:p>
        </w:tc>
        <w:tc>
          <w:tcPr>
            <w:tcW w:w="209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Состав (Российская адаптация)</w:t>
            </w:r>
          </w:p>
        </w:tc>
        <w:tc>
          <w:tcPr>
            <w:tcW w:w="2138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Состав (Западный эталон)</w:t>
            </w:r>
          </w:p>
        </w:tc>
        <w:tc>
          <w:tcPr>
            <w:tcW w:w="211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Дохо</w:t>
            </w: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ность (2025)</w:t>
            </w:r>
          </w:p>
        </w:tc>
        <w:tc>
          <w:tcPr>
            <w:tcW w:w="2720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применения</w:t>
            </w:r>
          </w:p>
        </w:tc>
      </w:tr>
      <w:tr w:rsidR="00217238" w:rsidRPr="00BD1CD7" w:rsidTr="00CB798C">
        <w:trPr>
          <w:trHeight w:val="63"/>
        </w:trPr>
        <w:tc>
          <w:tcPr>
            <w:tcW w:w="19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ческая 60/40</w:t>
            </w:r>
          </w:p>
        </w:tc>
        <w:tc>
          <w:tcPr>
            <w:tcW w:w="209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60% 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/ 40% облиг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2138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60% 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/ 40% облиг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211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Опереж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ние инфл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на 11% (ист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рически)</w:t>
            </w:r>
          </w:p>
        </w:tc>
        <w:tc>
          <w:tcPr>
            <w:tcW w:w="2720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Высокая чу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ствительность к и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менениям ключевой ставки [1]</w:t>
            </w:r>
          </w:p>
        </w:tc>
      </w:tr>
      <w:tr w:rsidR="00217238" w:rsidRPr="00BD1CD7" w:rsidTr="00CB798C">
        <w:trPr>
          <w:trHeight w:val="63"/>
        </w:trPr>
        <w:tc>
          <w:tcPr>
            <w:tcW w:w="19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Всеп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годный (Р. </w:t>
            </w:r>
            <w:proofErr w:type="spellStart"/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Далио</w:t>
            </w:r>
            <w:proofErr w:type="spellEnd"/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09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Адапт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Мосбиржи</w:t>
            </w:r>
            <w:proofErr w:type="spellEnd"/>
            <w:r w:rsidRPr="00BD1CD7">
              <w:rPr>
                <w:rFonts w:ascii="Times New Roman" w:hAnsi="Times New Roman" w:cs="Times New Roman"/>
                <w:sz w:val="28"/>
                <w:szCs w:val="28"/>
              </w:rPr>
              <w:t xml:space="preserve"> (з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лото, евроо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лигации, д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нежный рынок)</w:t>
            </w:r>
          </w:p>
        </w:tc>
        <w:tc>
          <w:tcPr>
            <w:tcW w:w="2138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30% 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/ 40% длинные облигации / 15% средние облигации / 7,5% золото, 7,5% сырье</w:t>
            </w:r>
          </w:p>
        </w:tc>
        <w:tc>
          <w:tcPr>
            <w:tcW w:w="211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+13,4% (MOEXALLW)</w:t>
            </w:r>
          </w:p>
        </w:tc>
        <w:tc>
          <w:tcPr>
            <w:tcW w:w="2720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В РФ длинные ОФЗ заменены на еврооблигации и инструменты д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нежного рынка [2]</w:t>
            </w:r>
          </w:p>
        </w:tc>
      </w:tr>
      <w:tr w:rsidR="00217238" w:rsidRPr="00BD1CD7" w:rsidTr="00CB798C">
        <w:trPr>
          <w:trHeight w:val="63"/>
        </w:trPr>
        <w:tc>
          <w:tcPr>
            <w:tcW w:w="1985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Пор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фель Г. Бра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BD1CD7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</w:p>
        </w:tc>
        <w:tc>
          <w:tcPr>
            <w:tcW w:w="209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25% 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/ 25% облиг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/ 25% з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лото / 25% кэш</w:t>
            </w:r>
          </w:p>
        </w:tc>
        <w:tc>
          <w:tcPr>
            <w:tcW w:w="2138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Аналоги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ное распред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</w:p>
        </w:tc>
        <w:tc>
          <w:tcPr>
            <w:tcW w:w="2117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Превыш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ние инфл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ции на 30,9% (с учетом попо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нения)</w:t>
            </w:r>
          </w:p>
        </w:tc>
        <w:tc>
          <w:tcPr>
            <w:tcW w:w="2720" w:type="dxa"/>
            <w:hideMark/>
          </w:tcPr>
          <w:p w:rsidR="00217238" w:rsidRPr="00BD1CD7" w:rsidRDefault="00217238" w:rsidP="00C866EC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Максимальная защита от систе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ных кризисов ("че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D1CD7">
              <w:rPr>
                <w:rFonts w:ascii="Times New Roman" w:hAnsi="Times New Roman" w:cs="Times New Roman"/>
                <w:sz w:val="28"/>
                <w:szCs w:val="28"/>
              </w:rPr>
              <w:t>ных лебедей") [1]</w:t>
            </w:r>
          </w:p>
        </w:tc>
      </w:tr>
    </w:tbl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lastRenderedPageBreak/>
        <w:t>Подводя итог, обратимся к современному состоянию вопроса формир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вания портфеля реальных инвестиций. Период 2025-2026 годов характериз</w:t>
      </w:r>
      <w:r w:rsidRPr="00BD1CD7">
        <w:rPr>
          <w:rFonts w:ascii="Times New Roman" w:hAnsi="Times New Roman" w:cs="Times New Roman"/>
          <w:sz w:val="28"/>
          <w:szCs w:val="28"/>
        </w:rPr>
        <w:t>у</w:t>
      </w:r>
      <w:r w:rsidRPr="00BD1CD7">
        <w:rPr>
          <w:rFonts w:ascii="Times New Roman" w:hAnsi="Times New Roman" w:cs="Times New Roman"/>
          <w:sz w:val="28"/>
          <w:szCs w:val="28"/>
        </w:rPr>
        <w:t>ется высокой степенью неопределенности, что вынуждает инвесторов пер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 xml:space="preserve">сматривать привычные </w:t>
      </w:r>
      <w:proofErr w:type="gramStart"/>
      <w:r w:rsidRPr="00BD1CD7">
        <w:rPr>
          <w:rFonts w:ascii="Times New Roman" w:hAnsi="Times New Roman" w:cs="Times New Roman"/>
          <w:sz w:val="28"/>
          <w:szCs w:val="28"/>
        </w:rPr>
        <w:t>риск-профили</w:t>
      </w:r>
      <w:proofErr w:type="gramEnd"/>
      <w:r w:rsidRPr="00BD1CD7">
        <w:rPr>
          <w:rFonts w:ascii="Times New Roman" w:hAnsi="Times New Roman" w:cs="Times New Roman"/>
          <w:sz w:val="28"/>
          <w:szCs w:val="28"/>
        </w:rPr>
        <w:t xml:space="preserve"> и подходы к структурированию акт</w:t>
      </w:r>
      <w:r w:rsidRPr="00BD1CD7">
        <w:rPr>
          <w:rFonts w:ascii="Times New Roman" w:hAnsi="Times New Roman" w:cs="Times New Roman"/>
          <w:sz w:val="28"/>
          <w:szCs w:val="28"/>
        </w:rPr>
        <w:t>и</w:t>
      </w:r>
      <w:r w:rsidRPr="00BD1CD7">
        <w:rPr>
          <w:rFonts w:ascii="Times New Roman" w:hAnsi="Times New Roman" w:cs="Times New Roman"/>
          <w:sz w:val="28"/>
          <w:szCs w:val="28"/>
        </w:rPr>
        <w:t>вов.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Среди основных трендов, наблюдаемых в настоящее время, можно в</w:t>
      </w:r>
      <w:r w:rsidRPr="00BD1CD7">
        <w:rPr>
          <w:rFonts w:ascii="Times New Roman" w:hAnsi="Times New Roman" w:cs="Times New Roman"/>
          <w:sz w:val="28"/>
          <w:szCs w:val="28"/>
        </w:rPr>
        <w:t>ы</w:t>
      </w:r>
      <w:r w:rsidRPr="00BD1CD7">
        <w:rPr>
          <w:rFonts w:ascii="Times New Roman" w:hAnsi="Times New Roman" w:cs="Times New Roman"/>
          <w:sz w:val="28"/>
          <w:szCs w:val="28"/>
        </w:rPr>
        <w:t xml:space="preserve">делить </w:t>
      </w:r>
      <w:proofErr w:type="gramStart"/>
      <w:r w:rsidRPr="00BD1CD7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BD1CD7">
        <w:rPr>
          <w:rFonts w:ascii="Times New Roman" w:hAnsi="Times New Roman" w:cs="Times New Roman"/>
          <w:sz w:val="28"/>
          <w:szCs w:val="28"/>
        </w:rPr>
        <w:t>: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1.  Доминирование долговых инструментов.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  <w:r w:rsidR="0009452B">
        <w:rPr>
          <w:rFonts w:ascii="Times New Roman" w:hAnsi="Times New Roman" w:cs="Times New Roman"/>
          <w:sz w:val="28"/>
          <w:szCs w:val="28"/>
        </w:rPr>
        <w:t>В</w:t>
      </w:r>
      <w:r w:rsidRPr="00BD1CD7">
        <w:rPr>
          <w:rFonts w:ascii="Times New Roman" w:hAnsi="Times New Roman" w:cs="Times New Roman"/>
          <w:sz w:val="28"/>
          <w:szCs w:val="28"/>
        </w:rPr>
        <w:t xml:space="preserve"> 2025 году корпоративные облигации с высоким рейтингом надежн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 xml:space="preserve">сти показывали доходность порядка 28% </w:t>
      </w:r>
      <w:proofErr w:type="gramStart"/>
      <w:r w:rsidRPr="00BD1CD7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BD1CD7">
        <w:rPr>
          <w:rFonts w:ascii="Times New Roman" w:hAnsi="Times New Roman" w:cs="Times New Roman"/>
          <w:sz w:val="28"/>
          <w:szCs w:val="28"/>
        </w:rPr>
        <w:t xml:space="preserve"> [6]. Это делает их серье</w:t>
      </w:r>
      <w:r w:rsidRPr="00BD1CD7">
        <w:rPr>
          <w:rFonts w:ascii="Times New Roman" w:hAnsi="Times New Roman" w:cs="Times New Roman"/>
          <w:sz w:val="28"/>
          <w:szCs w:val="28"/>
        </w:rPr>
        <w:t>з</w:t>
      </w:r>
      <w:r w:rsidRPr="00BD1CD7">
        <w:rPr>
          <w:rFonts w:ascii="Times New Roman" w:hAnsi="Times New Roman" w:cs="Times New Roman"/>
          <w:sz w:val="28"/>
          <w:szCs w:val="28"/>
        </w:rPr>
        <w:t>ным конкурентом банковским депозитам и, в определенной степени, отвл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кает ликвидность от долгосрочных проектов в реальном секторе.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2.  Рост интереса к защитным активам.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Золото стало одним из лидеров роста. За 2025 год его цена</w:t>
      </w:r>
      <w:r>
        <w:rPr>
          <w:rFonts w:ascii="Times New Roman" w:hAnsi="Times New Roman" w:cs="Times New Roman"/>
          <w:sz w:val="28"/>
          <w:szCs w:val="28"/>
        </w:rPr>
        <w:t xml:space="preserve"> увеличилась на 60%, а серебра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на 80% [6]. Центральные банки разных стран активно наращивают запасы золота, что является сигналом глобального спроса на з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щитные активы.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3.  Акцент на </w:t>
      </w:r>
      <w:r w:rsidR="0084034A" w:rsidRPr="00BD1CD7">
        <w:rPr>
          <w:rFonts w:ascii="Times New Roman" w:hAnsi="Times New Roman" w:cs="Times New Roman"/>
          <w:sz w:val="28"/>
          <w:szCs w:val="28"/>
        </w:rPr>
        <w:t>разбалансировку</w:t>
      </w:r>
      <w:r w:rsidRPr="00BD1CD7">
        <w:rPr>
          <w:rFonts w:ascii="Times New Roman" w:hAnsi="Times New Roman" w:cs="Times New Roman"/>
          <w:sz w:val="28"/>
          <w:szCs w:val="28"/>
        </w:rPr>
        <w:t>.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 В условиях высоких рисков (колебания ключевой ставки, геополитич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 xml:space="preserve">ская напряженность) ключевым правилом становится регулярная </w:t>
      </w:r>
      <w:r w:rsidR="0084034A" w:rsidRPr="00BD1CD7">
        <w:rPr>
          <w:rFonts w:ascii="Times New Roman" w:hAnsi="Times New Roman" w:cs="Times New Roman"/>
          <w:sz w:val="28"/>
          <w:szCs w:val="28"/>
        </w:rPr>
        <w:t>разбала</w:t>
      </w:r>
      <w:r w:rsidR="0084034A" w:rsidRPr="00BD1CD7">
        <w:rPr>
          <w:rFonts w:ascii="Times New Roman" w:hAnsi="Times New Roman" w:cs="Times New Roman"/>
          <w:sz w:val="28"/>
          <w:szCs w:val="28"/>
        </w:rPr>
        <w:t>н</w:t>
      </w:r>
      <w:r w:rsidR="0084034A" w:rsidRPr="00BD1CD7">
        <w:rPr>
          <w:rFonts w:ascii="Times New Roman" w:hAnsi="Times New Roman" w:cs="Times New Roman"/>
          <w:sz w:val="28"/>
          <w:szCs w:val="28"/>
        </w:rPr>
        <w:t>сировка</w:t>
      </w:r>
      <w:r w:rsidRPr="00BD1CD7">
        <w:rPr>
          <w:rFonts w:ascii="Times New Roman" w:hAnsi="Times New Roman" w:cs="Times New Roman"/>
          <w:sz w:val="28"/>
          <w:szCs w:val="28"/>
        </w:rPr>
        <w:t xml:space="preserve"> портфеля. Эксперты сходятся во мнении, что при снижении ключ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>вой ставки в 2026 году инвесторы начнут перекладываться из облигаций в акции и реальные активы [3]. Для портфеля реальных инвестиций это означ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ет необходимость закладывать в бизнес-планы проектов сценарий постепе</w:t>
      </w:r>
      <w:r w:rsidRPr="00BD1CD7">
        <w:rPr>
          <w:rFonts w:ascii="Times New Roman" w:hAnsi="Times New Roman" w:cs="Times New Roman"/>
          <w:sz w:val="28"/>
          <w:szCs w:val="28"/>
        </w:rPr>
        <w:t>н</w:t>
      </w:r>
      <w:r w:rsidRPr="00BD1CD7">
        <w:rPr>
          <w:rFonts w:ascii="Times New Roman" w:hAnsi="Times New Roman" w:cs="Times New Roman"/>
          <w:sz w:val="28"/>
          <w:szCs w:val="28"/>
        </w:rPr>
        <w:t>ного снижения стоимости заемного капитала, чтобы избежать ситуации, к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>гда дорогие кредиты делают проект нерентабельным еще на стадии его ре</w:t>
      </w:r>
      <w:r w:rsidRPr="00BD1CD7">
        <w:rPr>
          <w:rFonts w:ascii="Times New Roman" w:hAnsi="Times New Roman" w:cs="Times New Roman"/>
          <w:sz w:val="28"/>
          <w:szCs w:val="28"/>
        </w:rPr>
        <w:t>а</w:t>
      </w:r>
      <w:r w:rsidRPr="00BD1CD7">
        <w:rPr>
          <w:rFonts w:ascii="Times New Roman" w:hAnsi="Times New Roman" w:cs="Times New Roman"/>
          <w:sz w:val="28"/>
          <w:szCs w:val="28"/>
        </w:rPr>
        <w:t>лизации.</w:t>
      </w:r>
    </w:p>
    <w:p w:rsidR="00217238" w:rsidRPr="00C866EC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32"/>
          <w:szCs w:val="28"/>
        </w:rPr>
      </w:pPr>
      <w:r w:rsidRPr="00C866EC">
        <w:rPr>
          <w:rFonts w:ascii="Times New Roman" w:hAnsi="Times New Roman" w:cs="Times New Roman"/>
          <w:b/>
          <w:sz w:val="32"/>
          <w:szCs w:val="28"/>
        </w:rPr>
        <w:lastRenderedPageBreak/>
        <w:t>Список литературы: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1.  Стратегии в действии: что показал стресс-тест российских портф</w:t>
      </w:r>
      <w:r w:rsidRPr="00BD1CD7">
        <w:rPr>
          <w:rFonts w:ascii="Times New Roman" w:hAnsi="Times New Roman" w:cs="Times New Roman"/>
          <w:sz w:val="28"/>
          <w:szCs w:val="28"/>
        </w:rPr>
        <w:t>е</w:t>
      </w:r>
      <w:r w:rsidRPr="00BD1CD7">
        <w:rPr>
          <w:rFonts w:ascii="Times New Roman" w:hAnsi="Times New Roman" w:cs="Times New Roman"/>
          <w:sz w:val="28"/>
          <w:szCs w:val="28"/>
        </w:rPr>
        <w:t xml:space="preserve">лей. </w:t>
      </w:r>
      <w:r>
        <w:rPr>
          <w:rFonts w:ascii="Times New Roman" w:hAnsi="Times New Roman" w:cs="Times New Roman"/>
          <w:sz w:val="28"/>
          <w:szCs w:val="28"/>
        </w:rPr>
        <w:t>- DP.ru, 2025.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4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https://www.dp.ru/a/2025/10/20/strategii-v-dejstvii-chto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2.  Итоги 2025: «Всепогодный портфель» на российском рынке.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Ал</w:t>
      </w:r>
      <w:r w:rsidRPr="00BD1CD7">
        <w:rPr>
          <w:rFonts w:ascii="Times New Roman" w:hAnsi="Times New Roman" w:cs="Times New Roman"/>
          <w:sz w:val="28"/>
          <w:szCs w:val="28"/>
        </w:rPr>
        <w:t>ь</w:t>
      </w:r>
      <w:r w:rsidRPr="00BD1CD7">
        <w:rPr>
          <w:rFonts w:ascii="Times New Roman" w:hAnsi="Times New Roman" w:cs="Times New Roman"/>
          <w:sz w:val="28"/>
          <w:szCs w:val="28"/>
        </w:rPr>
        <w:t xml:space="preserve">фа-Банк, 2025.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5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https://alfabank.ru/alfa-investor/t/itogi-2025-vsepogodnyy-portfel-na-rossiyskom-rynke/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3.  Юлия Карпова: «Инвесторы будут перекладываться из «безопасной гавани» в «инструменты роста».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ПСБ Блог, 2025.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6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https://psblog.ru/yuliya-karpova-investory-budut-perekladyvatsya-iz-bezopasnoj-gavani-v-instrumenty-rosta/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4.  5 шагов к сильному портфелю: алгоритм для начинающих инвест</w:t>
      </w:r>
      <w:r w:rsidRPr="00BD1CD7">
        <w:rPr>
          <w:rFonts w:ascii="Times New Roman" w:hAnsi="Times New Roman" w:cs="Times New Roman"/>
          <w:sz w:val="28"/>
          <w:szCs w:val="28"/>
        </w:rPr>
        <w:t>о</w:t>
      </w:r>
      <w:r w:rsidRPr="00BD1CD7">
        <w:rPr>
          <w:rFonts w:ascii="Times New Roman" w:hAnsi="Times New Roman" w:cs="Times New Roman"/>
          <w:sz w:val="28"/>
          <w:szCs w:val="28"/>
        </w:rPr>
        <w:t xml:space="preserve">ров.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Финуслуги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, 2025.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7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https://finuslugi.ru/navigator/investirovat/stat_5_shagov_k_silnomu_portfelyu_algoritm_sostavleniya_portfelya_dlya_nachinayushchikh_investorov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5.  6 Проверенных Способов</w:t>
      </w:r>
      <w:proofErr w:type="gramStart"/>
      <w:r w:rsidRPr="00BD1CD7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BD1CD7">
        <w:rPr>
          <w:rFonts w:ascii="Times New Roman" w:hAnsi="Times New Roman" w:cs="Times New Roman"/>
          <w:sz w:val="28"/>
          <w:szCs w:val="28"/>
        </w:rPr>
        <w:t>иверсифицировать Акт</w:t>
      </w:r>
      <w:r>
        <w:rPr>
          <w:rFonts w:ascii="Times New Roman" w:hAnsi="Times New Roman" w:cs="Times New Roman"/>
          <w:sz w:val="28"/>
          <w:szCs w:val="28"/>
        </w:rPr>
        <w:t>ивы По Всему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 в 2025 году.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Т-Банк, 2025.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8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https://www.tbank.ru/invest/social/profile/Financial_Compass/a96d2eac-4826-433f-8106-02cc9c43ec4c/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6.  Искусство баланса: портфель инвестора в период охлаждения.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DP.ru, 2025.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19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https://www.dp.ru/a/2025/12/01/iskusstvo-balansa-portfel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Pr="00BD1CD7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>7.  Рисковать не обязательно: секреты формиров</w:t>
      </w:r>
      <w:r>
        <w:rPr>
          <w:rFonts w:ascii="Times New Roman" w:hAnsi="Times New Roman" w:cs="Times New Roman"/>
          <w:sz w:val="28"/>
          <w:szCs w:val="28"/>
        </w:rPr>
        <w:t xml:space="preserve">ания инвестиционного портфеля.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Клерк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, 2025. 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20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https://www.klerk.ru/buh/articles/654492/</w:t>
        </w:r>
      </w:hyperlink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238" w:rsidRDefault="00217238" w:rsidP="00C866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D7">
        <w:rPr>
          <w:rFonts w:ascii="Times New Roman" w:hAnsi="Times New Roman" w:cs="Times New Roman"/>
          <w:sz w:val="28"/>
          <w:szCs w:val="28"/>
        </w:rPr>
        <w:t xml:space="preserve">8.  Эксперты про инвестиционные стратегии богатых: консерватизм и новые возможности 2025.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CD7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BD1CD7">
        <w:rPr>
          <w:rFonts w:ascii="Times New Roman" w:hAnsi="Times New Roman" w:cs="Times New Roman"/>
          <w:sz w:val="28"/>
          <w:szCs w:val="28"/>
        </w:rPr>
        <w:t xml:space="preserve">, 2025.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D1CD7">
        <w:rPr>
          <w:rFonts w:ascii="Times New Roman" w:hAnsi="Times New Roman" w:cs="Times New Roman"/>
          <w:sz w:val="28"/>
          <w:szCs w:val="28"/>
        </w:rPr>
        <w:t xml:space="preserve"> URL: </w:t>
      </w:r>
      <w:hyperlink r:id="rId21" w:history="1">
        <w:r w:rsidRPr="00BD1CD7">
          <w:rPr>
            <w:rStyle w:val="a7"/>
            <w:rFonts w:ascii="Times New Roman" w:hAnsi="Times New Roman" w:cs="Times New Roman"/>
            <w:sz w:val="28"/>
            <w:szCs w:val="28"/>
          </w:rPr>
          <w:t>https://fomag.ru/news/pro-investicii-sostoyatelnyh-klientov/</w:t>
        </w:r>
      </w:hyperlink>
      <w:r w:rsidRPr="00EB27D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17238" w:rsidSect="00C2048B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A25" w:rsidRDefault="00693A25" w:rsidP="00C2048B">
      <w:pPr>
        <w:spacing w:after="0" w:line="240" w:lineRule="auto"/>
      </w:pPr>
      <w:r>
        <w:separator/>
      </w:r>
    </w:p>
  </w:endnote>
  <w:endnote w:type="continuationSeparator" w:id="0">
    <w:p w:rsidR="00693A25" w:rsidRDefault="00693A25" w:rsidP="00C20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00985"/>
      <w:docPartObj>
        <w:docPartGallery w:val="Page Numbers (Bottom of Page)"/>
        <w:docPartUnique/>
      </w:docPartObj>
    </w:sdtPr>
    <w:sdtEndPr/>
    <w:sdtContent>
      <w:p w:rsidR="00C2048B" w:rsidRDefault="00C2048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D0C">
          <w:rPr>
            <w:noProof/>
          </w:rPr>
          <w:t>2</w:t>
        </w:r>
        <w:r>
          <w:fldChar w:fldCharType="end"/>
        </w:r>
      </w:p>
    </w:sdtContent>
  </w:sdt>
  <w:p w:rsidR="00C2048B" w:rsidRDefault="00C204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A25" w:rsidRDefault="00693A25" w:rsidP="00C2048B">
      <w:pPr>
        <w:spacing w:after="0" w:line="240" w:lineRule="auto"/>
      </w:pPr>
      <w:r>
        <w:separator/>
      </w:r>
    </w:p>
  </w:footnote>
  <w:footnote w:type="continuationSeparator" w:id="0">
    <w:p w:rsidR="00693A25" w:rsidRDefault="00693A25" w:rsidP="00C20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F7DD5"/>
    <w:multiLevelType w:val="hybridMultilevel"/>
    <w:tmpl w:val="317A87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AC81AD6"/>
    <w:multiLevelType w:val="hybridMultilevel"/>
    <w:tmpl w:val="6D723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38"/>
    <w:rsid w:val="0009452B"/>
    <w:rsid w:val="00146659"/>
    <w:rsid w:val="00217238"/>
    <w:rsid w:val="002E4342"/>
    <w:rsid w:val="00410D51"/>
    <w:rsid w:val="00450C5C"/>
    <w:rsid w:val="00453553"/>
    <w:rsid w:val="00580D0C"/>
    <w:rsid w:val="00687D96"/>
    <w:rsid w:val="00693A25"/>
    <w:rsid w:val="007334AF"/>
    <w:rsid w:val="0084034A"/>
    <w:rsid w:val="008861F4"/>
    <w:rsid w:val="008E227F"/>
    <w:rsid w:val="009357D3"/>
    <w:rsid w:val="00A30F2C"/>
    <w:rsid w:val="00A74D0D"/>
    <w:rsid w:val="00AE6C7E"/>
    <w:rsid w:val="00B61376"/>
    <w:rsid w:val="00C2048B"/>
    <w:rsid w:val="00C42E12"/>
    <w:rsid w:val="00C866EC"/>
    <w:rsid w:val="00CB798C"/>
    <w:rsid w:val="00E00208"/>
    <w:rsid w:val="00E5475F"/>
    <w:rsid w:val="00F22B70"/>
    <w:rsid w:val="00F3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1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72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7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23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1723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20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048B"/>
  </w:style>
  <w:style w:type="paragraph" w:styleId="aa">
    <w:name w:val="footer"/>
    <w:basedOn w:val="a"/>
    <w:link w:val="ab"/>
    <w:uiPriority w:val="99"/>
    <w:unhideWhenUsed/>
    <w:rsid w:val="00C20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0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1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2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723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7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23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1723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20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048B"/>
  </w:style>
  <w:style w:type="paragraph" w:styleId="aa">
    <w:name w:val="footer"/>
    <w:basedOn w:val="a"/>
    <w:link w:val="ab"/>
    <w:uiPriority w:val="99"/>
    <w:unhideWhenUsed/>
    <w:rsid w:val="00C20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0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hyperlink" Target="https://www.tbank.ru/invest/social/profile/Financial_Compass/a96d2eac-4826-433f-8106-02cc9c43ec4c/" TargetMode="External"/><Relationship Id="rId3" Type="http://schemas.openxmlformats.org/officeDocument/2006/relationships/styles" Target="styles.xml"/><Relationship Id="rId21" Type="http://schemas.openxmlformats.org/officeDocument/2006/relationships/hyperlink" Target="https://fomag.ru/news/pro-investicii-sostoyatelnyh-klientov/" TargetMode="Externa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finuslugi.ru/navigator/investirovat/stat_5_shagov_k_silnomu_portfelyu_algoritm_sostavleniya_portfelya_dlya_nachinayushchikh_investoro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sblog.ru/yuliya-karpova-investory-budut-perekladyvatsya-iz-bezopasnoj-gavani-v-instrumenty-rosta/" TargetMode="External"/><Relationship Id="rId20" Type="http://schemas.openxmlformats.org/officeDocument/2006/relationships/hyperlink" Target="https://www.klerk.ru/buh/articles/65449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alfabank.ru/alfa-investor/t/itogi-2025-vsepogodnyy-portfel-na-rossiyskom-rynke/" TargetMode="External"/><Relationship Id="rId23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hyperlink" Target="https://www.dp.ru/a/2025/12/01/iskusstvo-balansa-portfel" TargetMode="Externa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yperlink" Target="https://www.dp.ru/a/2025/10/20/strategii-v-dejstvii-chto" TargetMode="External"/><Relationship Id="rId22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A81D8D7-1808-4EFD-935D-BE093E66153B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F062065-937A-4673-8A59-D9DBDA91CF14}">
      <dgm:prSet phldrT="[Текст]"/>
      <dgm:spPr/>
      <dgm:t>
        <a:bodyPr/>
        <a:lstStyle/>
        <a:p>
          <a:r>
            <a:rPr lang="ru-RU"/>
            <a:t>2</a:t>
          </a:r>
        </a:p>
      </dgm:t>
    </dgm:pt>
    <dgm:pt modelId="{476EA38E-16F1-4DF6-9B48-6AD1A85709A9}" type="parTrans" cxnId="{298F032D-A2FA-48F5-9F75-64CD2DAE1E3C}">
      <dgm:prSet/>
      <dgm:spPr/>
      <dgm:t>
        <a:bodyPr/>
        <a:lstStyle/>
        <a:p>
          <a:endParaRPr lang="ru-RU"/>
        </a:p>
      </dgm:t>
    </dgm:pt>
    <dgm:pt modelId="{41D4FAF7-8EAA-4CA5-895E-CDAE65E22389}" type="sibTrans" cxnId="{298F032D-A2FA-48F5-9F75-64CD2DAE1E3C}">
      <dgm:prSet/>
      <dgm:spPr/>
      <dgm:t>
        <a:bodyPr/>
        <a:lstStyle/>
        <a:p>
          <a:endParaRPr lang="ru-RU"/>
        </a:p>
      </dgm:t>
    </dgm:pt>
    <dgm:pt modelId="{1AC40040-8BF9-460B-897F-0974106D1F92}">
      <dgm:prSet phldrT="[Текст]"/>
      <dgm:spPr/>
      <dgm:t>
        <a:bodyPr/>
        <a:lstStyle/>
        <a:p>
          <a:r>
            <a:rPr lang="ru-RU"/>
            <a:t> исходные параметры (стратегия развития компании, доступные ресурсы)</a:t>
          </a:r>
        </a:p>
      </dgm:t>
    </dgm:pt>
    <dgm:pt modelId="{A58D4812-2CC8-44D2-963E-57536A7ADC92}" type="parTrans" cxnId="{0D8DA699-D472-4811-A093-57CF88110AE0}">
      <dgm:prSet/>
      <dgm:spPr/>
      <dgm:t>
        <a:bodyPr/>
        <a:lstStyle/>
        <a:p>
          <a:endParaRPr lang="ru-RU"/>
        </a:p>
      </dgm:t>
    </dgm:pt>
    <dgm:pt modelId="{B2740972-7990-4325-9BDC-78DE4DAB9438}" type="sibTrans" cxnId="{0D8DA699-D472-4811-A093-57CF88110AE0}">
      <dgm:prSet/>
      <dgm:spPr/>
      <dgm:t>
        <a:bodyPr/>
        <a:lstStyle/>
        <a:p>
          <a:endParaRPr lang="ru-RU"/>
        </a:p>
      </dgm:t>
    </dgm:pt>
    <dgm:pt modelId="{3014EE77-693D-48F8-882E-F976282CE31A}">
      <dgm:prSet phldrT="[Текст]"/>
      <dgm:spPr/>
      <dgm:t>
        <a:bodyPr/>
        <a:lstStyle/>
        <a:p>
          <a:r>
            <a:rPr lang="ru-RU"/>
            <a:t>1</a:t>
          </a:r>
        </a:p>
      </dgm:t>
    </dgm:pt>
    <dgm:pt modelId="{1C942CD2-E342-4A96-A626-13EB1DE3CF3A}" type="parTrans" cxnId="{FBD2093B-5CC6-4223-90DE-77FB0C1BDED9}">
      <dgm:prSet/>
      <dgm:spPr/>
      <dgm:t>
        <a:bodyPr/>
        <a:lstStyle/>
        <a:p>
          <a:endParaRPr lang="ru-RU"/>
        </a:p>
      </dgm:t>
    </dgm:pt>
    <dgm:pt modelId="{E6AA2ECD-378E-4083-AD6F-3170EA4B766C}" type="sibTrans" cxnId="{FBD2093B-5CC6-4223-90DE-77FB0C1BDED9}">
      <dgm:prSet/>
      <dgm:spPr/>
      <dgm:t>
        <a:bodyPr/>
        <a:lstStyle/>
        <a:p>
          <a:endParaRPr lang="ru-RU"/>
        </a:p>
      </dgm:t>
    </dgm:pt>
    <dgm:pt modelId="{E80C7032-29EC-49B5-92C4-E69620493EB4}">
      <dgm:prSet phldrT="[Текст]"/>
      <dgm:spPr/>
      <dgm:t>
        <a:bodyPr/>
        <a:lstStyle/>
        <a:p>
          <a:r>
            <a:rPr lang="ru-RU"/>
            <a:t>предварительный отбор (отсев проектов, не соответствующих критериям риска и окупаемости) </a:t>
          </a:r>
        </a:p>
      </dgm:t>
    </dgm:pt>
    <dgm:pt modelId="{A369DBF4-63CD-47B3-A72C-C61E59004058}" type="parTrans" cxnId="{9718652D-DD57-4760-B6B0-8CB27BA82D20}">
      <dgm:prSet/>
      <dgm:spPr/>
      <dgm:t>
        <a:bodyPr/>
        <a:lstStyle/>
        <a:p>
          <a:endParaRPr lang="ru-RU"/>
        </a:p>
      </dgm:t>
    </dgm:pt>
    <dgm:pt modelId="{DD48738C-826B-42FC-98CB-6F92938D5EFC}" type="sibTrans" cxnId="{9718652D-DD57-4760-B6B0-8CB27BA82D20}">
      <dgm:prSet/>
      <dgm:spPr/>
      <dgm:t>
        <a:bodyPr/>
        <a:lstStyle/>
        <a:p>
          <a:endParaRPr lang="ru-RU"/>
        </a:p>
      </dgm:t>
    </dgm:pt>
    <dgm:pt modelId="{FEFA655B-D248-40EE-ACC1-697BC1977D1E}">
      <dgm:prSet phldrT="[Текст]"/>
      <dgm:spPr/>
      <dgm:t>
        <a:bodyPr/>
        <a:lstStyle/>
        <a:p>
          <a:r>
            <a:rPr lang="ru-RU"/>
            <a:t>4</a:t>
          </a:r>
        </a:p>
      </dgm:t>
    </dgm:pt>
    <dgm:pt modelId="{921E066D-20E9-4853-BD9C-AFEEACE9322D}" type="parTrans" cxnId="{EE00F10E-B13F-4017-AE56-5792F8B5AF77}">
      <dgm:prSet/>
      <dgm:spPr/>
      <dgm:t>
        <a:bodyPr/>
        <a:lstStyle/>
        <a:p>
          <a:endParaRPr lang="ru-RU"/>
        </a:p>
      </dgm:t>
    </dgm:pt>
    <dgm:pt modelId="{E117A3D7-0A64-444A-928A-F33EAC7CBCA8}" type="sibTrans" cxnId="{EE00F10E-B13F-4017-AE56-5792F8B5AF77}">
      <dgm:prSet/>
      <dgm:spPr/>
      <dgm:t>
        <a:bodyPr/>
        <a:lstStyle/>
        <a:p>
          <a:endParaRPr lang="ru-RU"/>
        </a:p>
      </dgm:t>
    </dgm:pt>
    <dgm:pt modelId="{A95388E0-E71A-467E-A9E9-947B16DD03A6}">
      <dgm:prSet phldrT="[Текст]"/>
      <dgm:spPr/>
      <dgm:t>
        <a:bodyPr/>
        <a:lstStyle/>
        <a:p>
          <a:r>
            <a:rPr lang="ru-RU"/>
            <a:t>мониторинг и корректировка (периодическая ребалансировка с учетом изменения внешних условий)</a:t>
          </a:r>
        </a:p>
      </dgm:t>
    </dgm:pt>
    <dgm:pt modelId="{A86AC513-FE7E-4F5A-B183-373D53547F53}" type="parTrans" cxnId="{A8B8991E-35F7-4D63-B2AB-987BF25F0E1B}">
      <dgm:prSet/>
      <dgm:spPr/>
      <dgm:t>
        <a:bodyPr/>
        <a:lstStyle/>
        <a:p>
          <a:endParaRPr lang="ru-RU"/>
        </a:p>
      </dgm:t>
    </dgm:pt>
    <dgm:pt modelId="{8C430DA5-F2A4-4D58-82BC-29252FC423CF}" type="sibTrans" cxnId="{A8B8991E-35F7-4D63-B2AB-987BF25F0E1B}">
      <dgm:prSet/>
      <dgm:spPr/>
      <dgm:t>
        <a:bodyPr/>
        <a:lstStyle/>
        <a:p>
          <a:endParaRPr lang="ru-RU"/>
        </a:p>
      </dgm:t>
    </dgm:pt>
    <dgm:pt modelId="{215CA525-C998-4D9A-A824-EB414D33D959}">
      <dgm:prSet phldrT="[Текст]"/>
      <dgm:spPr/>
      <dgm:t>
        <a:bodyPr/>
        <a:lstStyle/>
        <a:p>
          <a:r>
            <a:rPr lang="ru-RU"/>
            <a:t>3</a:t>
          </a:r>
        </a:p>
      </dgm:t>
    </dgm:pt>
    <dgm:pt modelId="{631CE13B-8DD8-4A95-98A7-7E8C66A4D395}" type="parTrans" cxnId="{117FEB10-5697-4DDF-A0F3-F5F891B20C01}">
      <dgm:prSet/>
      <dgm:spPr/>
      <dgm:t>
        <a:bodyPr/>
        <a:lstStyle/>
        <a:p>
          <a:endParaRPr lang="ru-RU"/>
        </a:p>
      </dgm:t>
    </dgm:pt>
    <dgm:pt modelId="{61E4BBD1-C683-45D6-B1D7-80E5ED6A1A24}" type="sibTrans" cxnId="{117FEB10-5697-4DDF-A0F3-F5F891B20C01}">
      <dgm:prSet/>
      <dgm:spPr/>
      <dgm:t>
        <a:bodyPr/>
        <a:lstStyle/>
        <a:p>
          <a:endParaRPr lang="ru-RU"/>
        </a:p>
      </dgm:t>
    </dgm:pt>
    <dgm:pt modelId="{961DCDC6-A0F2-4D7A-BFAF-8037D388DC37}">
      <dgm:prSet/>
      <dgm:spPr/>
      <dgm:t>
        <a:bodyPr/>
        <a:lstStyle/>
        <a:p>
          <a:r>
            <a:rPr lang="ru-RU"/>
            <a:t>балансировка (распределение по отраслям, срокам реализации и источникам финансирования)</a:t>
          </a:r>
        </a:p>
      </dgm:t>
    </dgm:pt>
    <dgm:pt modelId="{8775D788-BFDA-46A1-8707-4BD8EB22E58E}" type="parTrans" cxnId="{2BF87A35-F9F6-40B5-BA96-A1715DAFE580}">
      <dgm:prSet/>
      <dgm:spPr/>
      <dgm:t>
        <a:bodyPr/>
        <a:lstStyle/>
        <a:p>
          <a:endParaRPr lang="ru-RU"/>
        </a:p>
      </dgm:t>
    </dgm:pt>
    <dgm:pt modelId="{AB34113C-899E-4B62-9C67-A6E9BF22230C}" type="sibTrans" cxnId="{2BF87A35-F9F6-40B5-BA96-A1715DAFE580}">
      <dgm:prSet/>
      <dgm:spPr/>
      <dgm:t>
        <a:bodyPr/>
        <a:lstStyle/>
        <a:p>
          <a:endParaRPr lang="ru-RU"/>
        </a:p>
      </dgm:t>
    </dgm:pt>
    <dgm:pt modelId="{C2AEEE3F-CB44-443D-B211-2C0E4DC95CD7}" type="pres">
      <dgm:prSet presAssocID="{AA81D8D7-1808-4EFD-935D-BE093E66153B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BEA20CE-895C-46AB-BABF-A0DCBDB46AE3}" type="pres">
      <dgm:prSet presAssocID="{3014EE77-693D-48F8-882E-F976282CE31A}" presName="composite" presStyleCnt="0"/>
      <dgm:spPr/>
    </dgm:pt>
    <dgm:pt modelId="{184BD28C-81E0-4FCE-8524-22C11DDE6BA3}" type="pres">
      <dgm:prSet presAssocID="{3014EE77-693D-48F8-882E-F976282CE31A}" presName="parentText" presStyleLbl="align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508CC19-7D76-4797-B242-16B8035BEB34}" type="pres">
      <dgm:prSet presAssocID="{3014EE77-693D-48F8-882E-F976282CE31A}" presName="descendantText" presStyleLbl="alignAcc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0D4494-0FDB-41DC-8DAF-16882C192078}" type="pres">
      <dgm:prSet presAssocID="{E6AA2ECD-378E-4083-AD6F-3170EA4B766C}" presName="sp" presStyleCnt="0"/>
      <dgm:spPr/>
    </dgm:pt>
    <dgm:pt modelId="{5AA65411-54CD-48AB-AB58-77D38A57C859}" type="pres">
      <dgm:prSet presAssocID="{2F062065-937A-4673-8A59-D9DBDA91CF14}" presName="composite" presStyleCnt="0"/>
      <dgm:spPr/>
    </dgm:pt>
    <dgm:pt modelId="{6DCE1973-564E-4546-A273-B1E69999B992}" type="pres">
      <dgm:prSet presAssocID="{2F062065-937A-4673-8A59-D9DBDA91CF14}" presName="parentText" presStyleLbl="align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932705-C097-4B8D-8D0E-ADCC0F7A9350}" type="pres">
      <dgm:prSet presAssocID="{2F062065-937A-4673-8A59-D9DBDA91CF14}" presName="descendantText" presStyleLbl="alignAcc1" presStyleIdx="1" presStyleCnt="4" custScaleX="9736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B98E6CE-CD96-4ACA-88F9-E4EE8A8F2CFA}" type="pres">
      <dgm:prSet presAssocID="{41D4FAF7-8EAA-4CA5-895E-CDAE65E22389}" presName="sp" presStyleCnt="0"/>
      <dgm:spPr/>
    </dgm:pt>
    <dgm:pt modelId="{561F488D-2F6A-4BA9-B894-4959AC21C994}" type="pres">
      <dgm:prSet presAssocID="{215CA525-C998-4D9A-A824-EB414D33D959}" presName="composite" presStyleCnt="0"/>
      <dgm:spPr/>
    </dgm:pt>
    <dgm:pt modelId="{91707F45-0EC6-44EF-96B9-E6BA9531599C}" type="pres">
      <dgm:prSet presAssocID="{215CA525-C998-4D9A-A824-EB414D33D959}" presName="parentText" presStyleLbl="align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85FC26-E423-40A9-80AD-44B6D306769D}" type="pres">
      <dgm:prSet presAssocID="{215CA525-C998-4D9A-A824-EB414D33D959}" presName="descendantText" presStyleLbl="alignAcc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EE7A5E7-A144-42ED-8F38-57C07095397E}" type="pres">
      <dgm:prSet presAssocID="{61E4BBD1-C683-45D6-B1D7-80E5ED6A1A24}" presName="sp" presStyleCnt="0"/>
      <dgm:spPr/>
    </dgm:pt>
    <dgm:pt modelId="{572D1C95-CF2B-4448-8BB4-525BE2F9A7E2}" type="pres">
      <dgm:prSet presAssocID="{FEFA655B-D248-40EE-ACC1-697BC1977D1E}" presName="composite" presStyleCnt="0"/>
      <dgm:spPr/>
    </dgm:pt>
    <dgm:pt modelId="{FC1E228C-FFBF-4575-B56D-E9E0D4D6F9F4}" type="pres">
      <dgm:prSet presAssocID="{FEFA655B-D248-40EE-ACC1-697BC1977D1E}" presName="parentText" presStyleLbl="align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897319-B2B1-4CB8-BCB9-76B1E8C4F249}" type="pres">
      <dgm:prSet presAssocID="{FEFA655B-D248-40EE-ACC1-697BC1977D1E}" presName="descendantText" presStyleLbl="alignAcc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17FEB10-5697-4DDF-A0F3-F5F891B20C01}" srcId="{AA81D8D7-1808-4EFD-935D-BE093E66153B}" destId="{215CA525-C998-4D9A-A824-EB414D33D959}" srcOrd="2" destOrd="0" parTransId="{631CE13B-8DD8-4A95-98A7-7E8C66A4D395}" sibTransId="{61E4BBD1-C683-45D6-B1D7-80E5ED6A1A24}"/>
    <dgm:cxn modelId="{EC3DF1C4-27E9-480C-93A4-4EECB930FFD5}" type="presOf" srcId="{215CA525-C998-4D9A-A824-EB414D33D959}" destId="{91707F45-0EC6-44EF-96B9-E6BA9531599C}" srcOrd="0" destOrd="0" presId="urn:microsoft.com/office/officeart/2005/8/layout/chevron2"/>
    <dgm:cxn modelId="{E0D36805-5039-4083-9C3F-4AB4BCA7E494}" type="presOf" srcId="{1AC40040-8BF9-460B-897F-0974106D1F92}" destId="{52932705-C097-4B8D-8D0E-ADCC0F7A9350}" srcOrd="0" destOrd="0" presId="urn:microsoft.com/office/officeart/2005/8/layout/chevron2"/>
    <dgm:cxn modelId="{216A14C1-0947-4858-8FB5-0BCB25B839C7}" type="presOf" srcId="{A95388E0-E71A-467E-A9E9-947B16DD03A6}" destId="{F9897319-B2B1-4CB8-BCB9-76B1E8C4F249}" srcOrd="0" destOrd="0" presId="urn:microsoft.com/office/officeart/2005/8/layout/chevron2"/>
    <dgm:cxn modelId="{0721923D-5A90-4725-B7BB-6F19997E5DD8}" type="presOf" srcId="{AA81D8D7-1808-4EFD-935D-BE093E66153B}" destId="{C2AEEE3F-CB44-443D-B211-2C0E4DC95CD7}" srcOrd="0" destOrd="0" presId="urn:microsoft.com/office/officeart/2005/8/layout/chevron2"/>
    <dgm:cxn modelId="{A8B8991E-35F7-4D63-B2AB-987BF25F0E1B}" srcId="{FEFA655B-D248-40EE-ACC1-697BC1977D1E}" destId="{A95388E0-E71A-467E-A9E9-947B16DD03A6}" srcOrd="0" destOrd="0" parTransId="{A86AC513-FE7E-4F5A-B183-373D53547F53}" sibTransId="{8C430DA5-F2A4-4D58-82BC-29252FC423CF}"/>
    <dgm:cxn modelId="{608D5C40-B954-410C-AFA4-687F8673BAE6}" type="presOf" srcId="{FEFA655B-D248-40EE-ACC1-697BC1977D1E}" destId="{FC1E228C-FFBF-4575-B56D-E9E0D4D6F9F4}" srcOrd="0" destOrd="0" presId="urn:microsoft.com/office/officeart/2005/8/layout/chevron2"/>
    <dgm:cxn modelId="{9718652D-DD57-4760-B6B0-8CB27BA82D20}" srcId="{3014EE77-693D-48F8-882E-F976282CE31A}" destId="{E80C7032-29EC-49B5-92C4-E69620493EB4}" srcOrd="0" destOrd="0" parTransId="{A369DBF4-63CD-47B3-A72C-C61E59004058}" sibTransId="{DD48738C-826B-42FC-98CB-6F92938D5EFC}"/>
    <dgm:cxn modelId="{0D8DA699-D472-4811-A093-57CF88110AE0}" srcId="{2F062065-937A-4673-8A59-D9DBDA91CF14}" destId="{1AC40040-8BF9-460B-897F-0974106D1F92}" srcOrd="0" destOrd="0" parTransId="{A58D4812-2CC8-44D2-963E-57536A7ADC92}" sibTransId="{B2740972-7990-4325-9BDC-78DE4DAB9438}"/>
    <dgm:cxn modelId="{298F032D-A2FA-48F5-9F75-64CD2DAE1E3C}" srcId="{AA81D8D7-1808-4EFD-935D-BE093E66153B}" destId="{2F062065-937A-4673-8A59-D9DBDA91CF14}" srcOrd="1" destOrd="0" parTransId="{476EA38E-16F1-4DF6-9B48-6AD1A85709A9}" sibTransId="{41D4FAF7-8EAA-4CA5-895E-CDAE65E22389}"/>
    <dgm:cxn modelId="{3FB6E90A-CC15-4470-8706-47D2BA06D666}" type="presOf" srcId="{3014EE77-693D-48F8-882E-F976282CE31A}" destId="{184BD28C-81E0-4FCE-8524-22C11DDE6BA3}" srcOrd="0" destOrd="0" presId="urn:microsoft.com/office/officeart/2005/8/layout/chevron2"/>
    <dgm:cxn modelId="{2BF87A35-F9F6-40B5-BA96-A1715DAFE580}" srcId="{215CA525-C998-4D9A-A824-EB414D33D959}" destId="{961DCDC6-A0F2-4D7A-BFAF-8037D388DC37}" srcOrd="0" destOrd="0" parTransId="{8775D788-BFDA-46A1-8707-4BD8EB22E58E}" sibTransId="{AB34113C-899E-4B62-9C67-A6E9BF22230C}"/>
    <dgm:cxn modelId="{C924E0E0-B2FD-45A1-AD53-0945EC0A20C4}" type="presOf" srcId="{E80C7032-29EC-49B5-92C4-E69620493EB4}" destId="{C508CC19-7D76-4797-B242-16B8035BEB34}" srcOrd="0" destOrd="0" presId="urn:microsoft.com/office/officeart/2005/8/layout/chevron2"/>
    <dgm:cxn modelId="{14277FCC-0E6C-47F2-BDAD-678356ECB813}" type="presOf" srcId="{961DCDC6-A0F2-4D7A-BFAF-8037D388DC37}" destId="{B585FC26-E423-40A9-80AD-44B6D306769D}" srcOrd="0" destOrd="0" presId="urn:microsoft.com/office/officeart/2005/8/layout/chevron2"/>
    <dgm:cxn modelId="{FBD2093B-5CC6-4223-90DE-77FB0C1BDED9}" srcId="{AA81D8D7-1808-4EFD-935D-BE093E66153B}" destId="{3014EE77-693D-48F8-882E-F976282CE31A}" srcOrd="0" destOrd="0" parTransId="{1C942CD2-E342-4A96-A626-13EB1DE3CF3A}" sibTransId="{E6AA2ECD-378E-4083-AD6F-3170EA4B766C}"/>
    <dgm:cxn modelId="{EE00F10E-B13F-4017-AE56-5792F8B5AF77}" srcId="{AA81D8D7-1808-4EFD-935D-BE093E66153B}" destId="{FEFA655B-D248-40EE-ACC1-697BC1977D1E}" srcOrd="3" destOrd="0" parTransId="{921E066D-20E9-4853-BD9C-AFEEACE9322D}" sibTransId="{E117A3D7-0A64-444A-928A-F33EAC7CBCA8}"/>
    <dgm:cxn modelId="{C413248E-989E-4796-A5B3-A67CE9A3E71A}" type="presOf" srcId="{2F062065-937A-4673-8A59-D9DBDA91CF14}" destId="{6DCE1973-564E-4546-A273-B1E69999B992}" srcOrd="0" destOrd="0" presId="urn:microsoft.com/office/officeart/2005/8/layout/chevron2"/>
    <dgm:cxn modelId="{E26DC9CE-ACCE-461D-9696-6AEB53769899}" type="presParOf" srcId="{C2AEEE3F-CB44-443D-B211-2C0E4DC95CD7}" destId="{4BEA20CE-895C-46AB-BABF-A0DCBDB46AE3}" srcOrd="0" destOrd="0" presId="urn:microsoft.com/office/officeart/2005/8/layout/chevron2"/>
    <dgm:cxn modelId="{7148CBF6-ED73-491C-B12A-57283485A248}" type="presParOf" srcId="{4BEA20CE-895C-46AB-BABF-A0DCBDB46AE3}" destId="{184BD28C-81E0-4FCE-8524-22C11DDE6BA3}" srcOrd="0" destOrd="0" presId="urn:microsoft.com/office/officeart/2005/8/layout/chevron2"/>
    <dgm:cxn modelId="{3C347686-85CF-4E72-9127-2FA7C9F5744B}" type="presParOf" srcId="{4BEA20CE-895C-46AB-BABF-A0DCBDB46AE3}" destId="{C508CC19-7D76-4797-B242-16B8035BEB34}" srcOrd="1" destOrd="0" presId="urn:microsoft.com/office/officeart/2005/8/layout/chevron2"/>
    <dgm:cxn modelId="{DA525A25-07EC-4B7D-B243-E3E0BBC0D631}" type="presParOf" srcId="{C2AEEE3F-CB44-443D-B211-2C0E4DC95CD7}" destId="{300D4494-0FDB-41DC-8DAF-16882C192078}" srcOrd="1" destOrd="0" presId="urn:microsoft.com/office/officeart/2005/8/layout/chevron2"/>
    <dgm:cxn modelId="{D5265E25-F92C-4E79-B942-F1F8387F035B}" type="presParOf" srcId="{C2AEEE3F-CB44-443D-B211-2C0E4DC95CD7}" destId="{5AA65411-54CD-48AB-AB58-77D38A57C859}" srcOrd="2" destOrd="0" presId="urn:microsoft.com/office/officeart/2005/8/layout/chevron2"/>
    <dgm:cxn modelId="{8CC24165-B32A-4140-9E2E-FE6E85F40CC3}" type="presParOf" srcId="{5AA65411-54CD-48AB-AB58-77D38A57C859}" destId="{6DCE1973-564E-4546-A273-B1E69999B992}" srcOrd="0" destOrd="0" presId="urn:microsoft.com/office/officeart/2005/8/layout/chevron2"/>
    <dgm:cxn modelId="{AF729964-142E-4522-90D4-B2002719F114}" type="presParOf" srcId="{5AA65411-54CD-48AB-AB58-77D38A57C859}" destId="{52932705-C097-4B8D-8D0E-ADCC0F7A9350}" srcOrd="1" destOrd="0" presId="urn:microsoft.com/office/officeart/2005/8/layout/chevron2"/>
    <dgm:cxn modelId="{7C2A288D-A36B-4436-8B89-71D2DBD74FB4}" type="presParOf" srcId="{C2AEEE3F-CB44-443D-B211-2C0E4DC95CD7}" destId="{AB98E6CE-CD96-4ACA-88F9-E4EE8A8F2CFA}" srcOrd="3" destOrd="0" presId="urn:microsoft.com/office/officeart/2005/8/layout/chevron2"/>
    <dgm:cxn modelId="{D5F81534-0441-445D-8028-84FD0D2AAC87}" type="presParOf" srcId="{C2AEEE3F-CB44-443D-B211-2C0E4DC95CD7}" destId="{561F488D-2F6A-4BA9-B894-4959AC21C994}" srcOrd="4" destOrd="0" presId="urn:microsoft.com/office/officeart/2005/8/layout/chevron2"/>
    <dgm:cxn modelId="{6514E21D-27CD-4B4C-9F1A-AE3DC78A91E3}" type="presParOf" srcId="{561F488D-2F6A-4BA9-B894-4959AC21C994}" destId="{91707F45-0EC6-44EF-96B9-E6BA9531599C}" srcOrd="0" destOrd="0" presId="urn:microsoft.com/office/officeart/2005/8/layout/chevron2"/>
    <dgm:cxn modelId="{C2BB6B47-4C98-46D3-8B0A-88812F76A328}" type="presParOf" srcId="{561F488D-2F6A-4BA9-B894-4959AC21C994}" destId="{B585FC26-E423-40A9-80AD-44B6D306769D}" srcOrd="1" destOrd="0" presId="urn:microsoft.com/office/officeart/2005/8/layout/chevron2"/>
    <dgm:cxn modelId="{F9816030-8046-4283-86EE-A04E0D315B2A}" type="presParOf" srcId="{C2AEEE3F-CB44-443D-B211-2C0E4DC95CD7}" destId="{FEE7A5E7-A144-42ED-8F38-57C07095397E}" srcOrd="5" destOrd="0" presId="urn:microsoft.com/office/officeart/2005/8/layout/chevron2"/>
    <dgm:cxn modelId="{C66ABCB9-8F47-4F9E-AD51-58A4925D0B73}" type="presParOf" srcId="{C2AEEE3F-CB44-443D-B211-2C0E4DC95CD7}" destId="{572D1C95-CF2B-4448-8BB4-525BE2F9A7E2}" srcOrd="6" destOrd="0" presId="urn:microsoft.com/office/officeart/2005/8/layout/chevron2"/>
    <dgm:cxn modelId="{55BD15EB-D1CC-4B56-8D64-ABA99F69EF61}" type="presParOf" srcId="{572D1C95-CF2B-4448-8BB4-525BE2F9A7E2}" destId="{FC1E228C-FFBF-4575-B56D-E9E0D4D6F9F4}" srcOrd="0" destOrd="0" presId="urn:microsoft.com/office/officeart/2005/8/layout/chevron2"/>
    <dgm:cxn modelId="{082C9E03-6D72-4F35-9A7A-FFD5C979DFF7}" type="presParOf" srcId="{572D1C95-CF2B-4448-8BB4-525BE2F9A7E2}" destId="{F9897319-B2B1-4CB8-BCB9-76B1E8C4F249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4BD28C-81E0-4FCE-8524-22C11DDE6BA3}">
      <dsp:nvSpPr>
        <dsp:cNvPr id="0" name=""/>
        <dsp:cNvSpPr/>
      </dsp:nvSpPr>
      <dsp:spPr>
        <a:xfrm rot="5400000">
          <a:off x="-131054" y="131526"/>
          <a:ext cx="873695" cy="6115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1</a:t>
          </a:r>
        </a:p>
      </dsp:txBody>
      <dsp:txXfrm rot="-5400000">
        <a:off x="1" y="306264"/>
        <a:ext cx="611586" cy="262109"/>
      </dsp:txXfrm>
    </dsp:sp>
    <dsp:sp modelId="{C508CC19-7D76-4797-B242-16B8035BEB34}">
      <dsp:nvSpPr>
        <dsp:cNvPr id="0" name=""/>
        <dsp:cNvSpPr/>
      </dsp:nvSpPr>
      <dsp:spPr>
        <a:xfrm rot="5400000">
          <a:off x="3024122" y="-2412063"/>
          <a:ext cx="567902" cy="539297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600" kern="1200"/>
            <a:t>предварительный отбор (отсев проектов, не соответствующих критериям риска и окупаемости) </a:t>
          </a:r>
        </a:p>
      </dsp:txBody>
      <dsp:txXfrm rot="-5400000">
        <a:off x="611587" y="28195"/>
        <a:ext cx="5365250" cy="512456"/>
      </dsp:txXfrm>
    </dsp:sp>
    <dsp:sp modelId="{6DCE1973-564E-4546-A273-B1E69999B992}">
      <dsp:nvSpPr>
        <dsp:cNvPr id="0" name=""/>
        <dsp:cNvSpPr/>
      </dsp:nvSpPr>
      <dsp:spPr>
        <a:xfrm rot="5400000">
          <a:off x="-131054" y="850899"/>
          <a:ext cx="873695" cy="6115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2</a:t>
          </a:r>
        </a:p>
      </dsp:txBody>
      <dsp:txXfrm rot="-5400000">
        <a:off x="1" y="1025637"/>
        <a:ext cx="611586" cy="262109"/>
      </dsp:txXfrm>
    </dsp:sp>
    <dsp:sp modelId="{52932705-C097-4B8D-8D0E-ADCC0F7A9350}">
      <dsp:nvSpPr>
        <dsp:cNvPr id="0" name=""/>
        <dsp:cNvSpPr/>
      </dsp:nvSpPr>
      <dsp:spPr>
        <a:xfrm rot="5400000">
          <a:off x="3024122" y="-1621637"/>
          <a:ext cx="567902" cy="525086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600" kern="1200"/>
            <a:t> исходные параметры (стратегия развития компании, доступные ресурсы)</a:t>
          </a:r>
        </a:p>
      </dsp:txBody>
      <dsp:txXfrm rot="-5400000">
        <a:off x="682640" y="747568"/>
        <a:ext cx="5223145" cy="512456"/>
      </dsp:txXfrm>
    </dsp:sp>
    <dsp:sp modelId="{91707F45-0EC6-44EF-96B9-E6BA9531599C}">
      <dsp:nvSpPr>
        <dsp:cNvPr id="0" name=""/>
        <dsp:cNvSpPr/>
      </dsp:nvSpPr>
      <dsp:spPr>
        <a:xfrm rot="5400000">
          <a:off x="-131054" y="1570273"/>
          <a:ext cx="873695" cy="6115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3</a:t>
          </a:r>
        </a:p>
      </dsp:txBody>
      <dsp:txXfrm rot="-5400000">
        <a:off x="1" y="1745011"/>
        <a:ext cx="611586" cy="262109"/>
      </dsp:txXfrm>
    </dsp:sp>
    <dsp:sp modelId="{B585FC26-E423-40A9-80AD-44B6D306769D}">
      <dsp:nvSpPr>
        <dsp:cNvPr id="0" name=""/>
        <dsp:cNvSpPr/>
      </dsp:nvSpPr>
      <dsp:spPr>
        <a:xfrm rot="5400000">
          <a:off x="3024122" y="-973316"/>
          <a:ext cx="567902" cy="539297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600" kern="1200"/>
            <a:t>балансировка (распределение по отраслям, срокам реализации и источникам финансирования)</a:t>
          </a:r>
        </a:p>
      </dsp:txBody>
      <dsp:txXfrm rot="-5400000">
        <a:off x="611587" y="1466942"/>
        <a:ext cx="5365250" cy="512456"/>
      </dsp:txXfrm>
    </dsp:sp>
    <dsp:sp modelId="{FC1E228C-FFBF-4575-B56D-E9E0D4D6F9F4}">
      <dsp:nvSpPr>
        <dsp:cNvPr id="0" name=""/>
        <dsp:cNvSpPr/>
      </dsp:nvSpPr>
      <dsp:spPr>
        <a:xfrm rot="5400000">
          <a:off x="-131054" y="2289647"/>
          <a:ext cx="873695" cy="6115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4</a:t>
          </a:r>
        </a:p>
      </dsp:txBody>
      <dsp:txXfrm rot="-5400000">
        <a:off x="1" y="2464385"/>
        <a:ext cx="611586" cy="262109"/>
      </dsp:txXfrm>
    </dsp:sp>
    <dsp:sp modelId="{F9897319-B2B1-4CB8-BCB9-76B1E8C4F249}">
      <dsp:nvSpPr>
        <dsp:cNvPr id="0" name=""/>
        <dsp:cNvSpPr/>
      </dsp:nvSpPr>
      <dsp:spPr>
        <a:xfrm rot="5400000">
          <a:off x="3024122" y="-253942"/>
          <a:ext cx="567902" cy="5392973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3792" tIns="10160" rIns="10160" bIns="10160" numCol="1" spcCol="1270" anchor="ctr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600" kern="1200"/>
            <a:t>мониторинг и корректировка (периодическая ребалансировка с учетом изменения внешних условий)</a:t>
          </a:r>
        </a:p>
      </dsp:txBody>
      <dsp:txXfrm rot="-5400000">
        <a:off x="611587" y="2186316"/>
        <a:ext cx="5365250" cy="5124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2ADEF-932E-4C5B-8515-CC1B02D20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</dc:creator>
  <cp:lastModifiedBy>Honor</cp:lastModifiedBy>
  <cp:revision>24</cp:revision>
  <dcterms:created xsi:type="dcterms:W3CDTF">2026-05-15T10:56:00Z</dcterms:created>
  <dcterms:modified xsi:type="dcterms:W3CDTF">2026-05-15T17:11:00Z</dcterms:modified>
</cp:coreProperties>
</file>