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52E" w:rsidRPr="0043652E" w:rsidRDefault="0043652E" w:rsidP="0043652E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Научная статья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«Правовое регулирование цифровых финансовых активов в Российской Федерации: актуальные проблемы и перспективы развития»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Автор: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 Малахов Шон Вениаминович</w:t>
      </w:r>
      <w:proofErr w:type="gramStart"/>
      <w:r w:rsidRPr="004365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3652E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 w:rsidRPr="004365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урс 1, группа </w:t>
      </w:r>
      <w:r w:rsidRPr="0043652E">
        <w:rPr>
          <w:rFonts w:ascii="Times New Roman" w:hAnsi="Times New Roman" w:cs="Times New Roman"/>
          <w:color w:val="000000"/>
          <w:sz w:val="28"/>
          <w:szCs w:val="28"/>
        </w:rPr>
        <w:t>П-ЮРП-м-о-251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br/>
      </w: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Научный руководитель: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3652E">
        <w:rPr>
          <w:rFonts w:ascii="Times New Roman" w:hAnsi="Times New Roman" w:cs="Times New Roman"/>
          <w:bCs/>
          <w:color w:val="000000"/>
          <w:sz w:val="28"/>
          <w:szCs w:val="28"/>
        </w:rPr>
        <w:t>канд. истор. наук, доцент кафедры ГПД</w:t>
      </w:r>
      <w:r w:rsidRPr="004365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3652E">
        <w:rPr>
          <w:rFonts w:ascii="Times New Roman" w:hAnsi="Times New Roman" w:cs="Times New Roman"/>
          <w:bCs/>
          <w:color w:val="000000"/>
          <w:sz w:val="28"/>
          <w:szCs w:val="28"/>
        </w:rPr>
        <w:t>Ляхова Анна Гарниковна</w:t>
      </w:r>
      <w:r w:rsidRPr="004365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выполнения работы: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652E">
        <w:rPr>
          <w:rFonts w:ascii="Times New Roman" w:eastAsia="Calibri" w:hAnsi="Times New Roman" w:cs="Times New Roman"/>
          <w:b/>
          <w:sz w:val="28"/>
          <w:szCs w:val="28"/>
        </w:rPr>
        <w:t>Федеральное государственное автономное образовательное учреждение высшего образования «</w:t>
      </w:r>
      <w:proofErr w:type="gramStart"/>
      <w:r w:rsidRPr="0043652E">
        <w:rPr>
          <w:rFonts w:ascii="Times New Roman" w:eastAsia="Calibri" w:hAnsi="Times New Roman" w:cs="Times New Roman"/>
          <w:b/>
          <w:sz w:val="28"/>
          <w:szCs w:val="28"/>
        </w:rPr>
        <w:t>СЕВЕРО-КАВКАЗСКИЙ</w:t>
      </w:r>
      <w:proofErr w:type="gramEnd"/>
      <w:r w:rsidRPr="0043652E">
        <w:rPr>
          <w:rFonts w:ascii="Times New Roman" w:eastAsia="Calibri" w:hAnsi="Times New Roman" w:cs="Times New Roman"/>
          <w:b/>
          <w:sz w:val="28"/>
          <w:szCs w:val="28"/>
        </w:rPr>
        <w:t xml:space="preserve"> ФЕДЕРАЛЬНЫЙ УНИВЕРСИТЕТ», Пятигорский институт (филиал) СКФУ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br/>
      </w: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Год: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 2026</w:t>
      </w:r>
    </w:p>
    <w:p w:rsidR="0043652E" w:rsidRDefault="0043652E" w:rsidP="0043652E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652E" w:rsidRPr="0043652E" w:rsidRDefault="0043652E" w:rsidP="0043652E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В статье рассматриваются актуальные вопросы правового регулирования цифровых финансовых активов (ЦФА) в Российской Федерации. Анализируются положения действующего законодательства, выявляются пробелы и противоречия, препятствующие развитию рынка ЦФА. Исследуются подходы к регулированию ЦФА в зарубежных юрисдикциях. Предлагаются направления совершенствования российского законодательства в данной сфере. Методологическую основу исследования составляют общенаучные и специальные юридические методы познания. Результаты исследования могут быть использованы в правотворческой деятельности, научной работе и учебном процессе.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Ключевые слова: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 цифровые финансовые активы, криптовалюта, блокчейн, правовое регулирование, цифровые права, финансовый рынок, законодательство РФ.</w:t>
      </w:r>
    </w:p>
    <w:p w:rsidR="0043652E" w:rsidRPr="0043652E" w:rsidRDefault="0043652E" w:rsidP="0043652E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темы обусловлена стремительным развитием цифровых технологий и их проникновением в финансовую сферу. Появление новых 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lastRenderedPageBreak/>
        <w:t>форм активов, основанных на технологии распределённых реестров, требует адекватного правового регулирования. В Российской Федерации с 2021 года действует специальное законодательство о цифровых финансовых активах, однако практика его применения выявила ряд проблем.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Цель исследования — комплексный анализ правового регулирования ЦФА в РФ и разработка предложений по его совершенствованию.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43652E" w:rsidRPr="0043652E" w:rsidRDefault="0043652E" w:rsidP="0043652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изучить понятие и сущность цифровых финансовых активов;</w:t>
      </w:r>
    </w:p>
    <w:p w:rsidR="0043652E" w:rsidRPr="0043652E" w:rsidRDefault="0043652E" w:rsidP="0043652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проанализировать нормативно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правовую базу регулирования ЦФА в России;</w:t>
      </w:r>
    </w:p>
    <w:p w:rsidR="0043652E" w:rsidRPr="0043652E" w:rsidRDefault="0043652E" w:rsidP="0043652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выявить основные проблемы правоприменительной практики;</w:t>
      </w:r>
    </w:p>
    <w:p w:rsidR="0043652E" w:rsidRPr="0043652E" w:rsidRDefault="0043652E" w:rsidP="0043652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исследовать зарубежный опыт регулирования ЦФА;</w:t>
      </w:r>
    </w:p>
    <w:p w:rsidR="0043652E" w:rsidRPr="0043652E" w:rsidRDefault="0043652E" w:rsidP="0043652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сформулировать предложения по совершенствованию законодательства.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Объектом исследования выступают общественные отношения, возникающие в процессе выпуска, обращения и учёта цифровых финансовых активов.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Предмет исследования — нормы российского и зарубежного законодательства, регулирующие оборот ЦФА, а также правоприменительная практика в данной сфере.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Методология исследования включает:</w:t>
      </w:r>
    </w:p>
    <w:p w:rsidR="0043652E" w:rsidRPr="0043652E" w:rsidRDefault="0043652E" w:rsidP="0043652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общенаучные методы (анализ, синтез, индукция, дедукция);</w:t>
      </w:r>
    </w:p>
    <w:p w:rsidR="0043652E" w:rsidRPr="0043652E" w:rsidRDefault="0043652E" w:rsidP="0043652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специальные юридические методы (</w:t>
      </w:r>
      <w:proofErr w:type="gramStart"/>
      <w:r w:rsidRPr="0043652E">
        <w:rPr>
          <w:rFonts w:ascii="Times New Roman" w:eastAsia="Times New Roman" w:hAnsi="Times New Roman" w:cs="Times New Roman"/>
          <w:sz w:val="28"/>
          <w:szCs w:val="28"/>
        </w:rPr>
        <w:t>формально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юридический</w:t>
      </w:r>
      <w:proofErr w:type="gramEnd"/>
      <w:r w:rsidRPr="0043652E">
        <w:rPr>
          <w:rFonts w:ascii="Times New Roman" w:eastAsia="Times New Roman" w:hAnsi="Times New Roman" w:cs="Times New Roman"/>
          <w:sz w:val="28"/>
          <w:szCs w:val="28"/>
        </w:rPr>
        <w:t>, сравнительно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правовой, историко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правовой).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Нормативную базу исследования составляют:</w:t>
      </w:r>
    </w:p>
    <w:p w:rsidR="0043652E" w:rsidRPr="0043652E" w:rsidRDefault="0043652E" w:rsidP="0043652E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Гражданский кодекс РФ;</w:t>
      </w:r>
    </w:p>
    <w:p w:rsidR="0043652E" w:rsidRPr="0043652E" w:rsidRDefault="0043652E" w:rsidP="0043652E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Федеральный закон от 31.07.2020 № 259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ФЗ «О цифровых финансовых активах…»;</w:t>
      </w:r>
    </w:p>
    <w:p w:rsidR="0043652E" w:rsidRPr="0043652E" w:rsidRDefault="0043652E" w:rsidP="0043652E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иные нормативные акты, регулирующие цифровые активы.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lastRenderedPageBreak/>
        <w:t>Научная новизна работы заключается в комплексном анализе проблем правового регулирования ЦФА с учётом последних изменений законодательства и правоприменительной практики.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Практическая значимость исследования состоит в возможности использования его результатов при совершенствовании законодательства, в научной и педагогической деятельности.</w:t>
      </w:r>
    </w:p>
    <w:p w:rsidR="0043652E" w:rsidRPr="0043652E" w:rsidRDefault="0043652E" w:rsidP="0043652E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часть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Цифровые финансовые активы представляют собой новый класс активов, основанный на технологии распределённого реестра (блокчейна). В российском законодательстве ЦФА определяются как цифровые права, включающие денежные требования, возможность осуществления прав по эмиссионным ценным бумагам, права участия в капитале непубличного акционерного общества и иные права, предусмотренные Федеральным законом № 259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ФЗ.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Анализ положений закона показывает, что регулирование ЦФА в РФ имеет ряд особенностей:</w:t>
      </w:r>
    </w:p>
    <w:p w:rsidR="0043652E" w:rsidRPr="0043652E" w:rsidRDefault="0043652E" w:rsidP="0043652E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жёсткие требования к операторам информационных систем;</w:t>
      </w:r>
    </w:p>
    <w:p w:rsidR="0043652E" w:rsidRPr="0043652E" w:rsidRDefault="0043652E" w:rsidP="0043652E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ограничение круга активов, которые могут быть выпущены в цифровой форме;</w:t>
      </w:r>
    </w:p>
    <w:p w:rsidR="0043652E" w:rsidRPr="0043652E" w:rsidRDefault="0043652E" w:rsidP="0043652E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отсутствие прямого признания криптовалют в качестве платёжного средства.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Ключевые проблемы правового регулирования:</w:t>
      </w:r>
    </w:p>
    <w:p w:rsidR="0043652E" w:rsidRPr="0043652E" w:rsidRDefault="0043652E" w:rsidP="0043652E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недостаточная определённость статуса ЦФА в системе объектов гражданских прав;</w:t>
      </w:r>
    </w:p>
    <w:p w:rsidR="0043652E" w:rsidRPr="0043652E" w:rsidRDefault="0043652E" w:rsidP="0043652E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сложности взаимодействия с традиционным финансовым сектором;</w:t>
      </w:r>
    </w:p>
    <w:p w:rsidR="0043652E" w:rsidRPr="0043652E" w:rsidRDefault="0043652E" w:rsidP="0043652E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пробелы в налогообложении операций с ЦФА;</w:t>
      </w:r>
    </w:p>
    <w:p w:rsidR="0043652E" w:rsidRPr="0043652E" w:rsidRDefault="0043652E" w:rsidP="0043652E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вопросы защиты прав инвесторов;</w:t>
      </w:r>
    </w:p>
    <w:p w:rsidR="0043652E" w:rsidRPr="0043652E" w:rsidRDefault="0043652E" w:rsidP="0043652E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противоречия между различными нормативными актами.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lastRenderedPageBreak/>
        <w:t>Сравнительно</w:t>
      </w:r>
      <w:r w:rsidRPr="0043652E">
        <w:rPr>
          <w:rFonts w:ascii="Times New Roman" w:eastAsia="Times New Roman" w:hAnsi="Times New Roman" w:cs="Times New Roman"/>
          <w:sz w:val="28"/>
          <w:szCs w:val="28"/>
        </w:rPr>
        <w:noBreakHyphen/>
        <w:t>правовой анализ демонстрирует разнообразие подходов к регулированию ЦФА за рубежом. В Сингапуре и Швейцарии созданы благоприятные условия для развития цифровых активов, в США применяется дифференцированный подход в зависимости от типа актива, а в Китае введён полный запрет на операции с криптовалютами.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 xml:space="preserve">Перспективы развития российского законодательства связаны </w:t>
      </w:r>
      <w:proofErr w:type="gramStart"/>
      <w:r w:rsidRPr="0043652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3652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3652E" w:rsidRPr="0043652E" w:rsidRDefault="0043652E" w:rsidP="0043652E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уточнением понятийного аппарата;</w:t>
      </w:r>
    </w:p>
    <w:p w:rsidR="0043652E" w:rsidRPr="0043652E" w:rsidRDefault="0043652E" w:rsidP="0043652E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совершенствованием механизмов защиты прав инвесторов;</w:t>
      </w:r>
    </w:p>
    <w:p w:rsidR="0043652E" w:rsidRPr="0043652E" w:rsidRDefault="0043652E" w:rsidP="0043652E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гармонизацией с международным регулированием;</w:t>
      </w:r>
    </w:p>
    <w:p w:rsidR="0043652E" w:rsidRPr="0043652E" w:rsidRDefault="0043652E" w:rsidP="0043652E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развитием инфраструктуры рынка ЦФА;</w:t>
      </w:r>
    </w:p>
    <w:p w:rsidR="0043652E" w:rsidRPr="0043652E" w:rsidRDefault="0043652E" w:rsidP="0043652E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созданием эффективных механизмов контроля и надзора.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Представляется целесообразным:</w:t>
      </w:r>
    </w:p>
    <w:p w:rsidR="0043652E" w:rsidRPr="0043652E" w:rsidRDefault="0043652E" w:rsidP="0043652E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внести изменения в ГК РФ, закрепив ЦФА как отдельный объект гражданских прав;</w:t>
      </w:r>
    </w:p>
    <w:p w:rsidR="0043652E" w:rsidRPr="0043652E" w:rsidRDefault="0043652E" w:rsidP="0043652E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разработать специальные налоговые режимы для операций с ЦФА;</w:t>
      </w:r>
    </w:p>
    <w:p w:rsidR="0043652E" w:rsidRPr="0043652E" w:rsidRDefault="0043652E" w:rsidP="0043652E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создать систему саморегулируемых организаций на рынке цифровых активов;</w:t>
      </w:r>
    </w:p>
    <w:p w:rsidR="0043652E" w:rsidRDefault="0043652E" w:rsidP="0043652E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усовершенствовать механизмы противодействия отмыванию доходов через ЦФА.</w:t>
      </w:r>
    </w:p>
    <w:p w:rsidR="0043652E" w:rsidRPr="0043652E" w:rsidRDefault="0043652E" w:rsidP="0043652E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652E" w:rsidRPr="0043652E" w:rsidRDefault="0043652E" w:rsidP="0043652E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</w:p>
    <w:p w:rsidR="0043652E" w:rsidRP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Проведённое исследование позволяет сделать следующие выводы:</w:t>
      </w:r>
    </w:p>
    <w:p w:rsidR="0043652E" w:rsidRPr="0043652E" w:rsidRDefault="0043652E" w:rsidP="0043652E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Правовое регулирование цифровых финансовых активов в РФ находится на начальном этапе развития.</w:t>
      </w:r>
    </w:p>
    <w:p w:rsidR="0043652E" w:rsidRPr="0043652E" w:rsidRDefault="0043652E" w:rsidP="0043652E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Действующее законодательство содержит ряд пробелов и противоречий, затрудняющих развитие рынка ЦФА.</w:t>
      </w:r>
    </w:p>
    <w:p w:rsidR="0043652E" w:rsidRPr="0043652E" w:rsidRDefault="0043652E" w:rsidP="0043652E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Зарубежный опыт демонстрирует различные модели регулирования, из которых можно заимствовать наиболее эффективные решения.</w:t>
      </w:r>
    </w:p>
    <w:p w:rsidR="0043652E" w:rsidRPr="0043652E" w:rsidRDefault="0043652E" w:rsidP="0043652E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Совершенствование российского законодательства должно идти по пути уточнения правового статуса ЦФА, создания благоприятных условий для инвесторов и обеспечения финансовой стабильности.</w:t>
      </w:r>
    </w:p>
    <w:p w:rsidR="0043652E" w:rsidRDefault="0043652E" w:rsidP="004365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652E">
        <w:rPr>
          <w:rFonts w:ascii="Times New Roman" w:eastAsia="Times New Roman" w:hAnsi="Times New Roman" w:cs="Times New Roman"/>
          <w:sz w:val="28"/>
          <w:szCs w:val="28"/>
        </w:rPr>
        <w:t>Дальнейшее исследование темы может быть направлено на изучение конкретных аспектов регулирования ЦФА: налогообложение, защита прав инвесторов, взаимодействие с традиционными финансовыми инструментами.</w:t>
      </w:r>
    </w:p>
    <w:p w:rsidR="001138BB" w:rsidRDefault="001138BB" w:rsidP="001138B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</w:p>
    <w:p w:rsidR="001138BB" w:rsidRPr="001138BB" w:rsidRDefault="001138BB" w:rsidP="001138B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38BB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Гражданский кодекс Российской Федерации (часть первая) от 30.11.1994 № 51</w:t>
      </w:r>
      <w:r w:rsidRPr="001138BB">
        <w:rPr>
          <w:rFonts w:ascii="Times New Roman" w:eastAsia="Times New Roman" w:hAnsi="Times New Roman" w:cs="Times New Roman"/>
          <w:sz w:val="28"/>
          <w:szCs w:val="24"/>
        </w:rPr>
        <w:noBreakHyphen/>
        <w:t>ФЗ (ред. от 24.07.2023) // Собрание законодательства РФ. — 1994. — № 32. — Ст. 3301.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Федеральный закон от 31.07.2020 № 259</w:t>
      </w:r>
      <w:r w:rsidRPr="001138BB">
        <w:rPr>
          <w:rFonts w:ascii="Times New Roman" w:eastAsia="Times New Roman" w:hAnsi="Times New Roman" w:cs="Times New Roman"/>
          <w:sz w:val="28"/>
          <w:szCs w:val="24"/>
        </w:rPr>
        <w:noBreakHyphen/>
        <w:t>ФЗ «О цифровых финансовых активах, цифровой валюте и о внесении изменений в отдельные законодательные акты Российской Федерации» // Собрание законодательства РФ. — 2020. — № 31 (часть I). — Ст. 5018.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Федеральный закон от 07.08.2001 № 115</w:t>
      </w:r>
      <w:r w:rsidRPr="001138BB">
        <w:rPr>
          <w:rFonts w:ascii="Times New Roman" w:eastAsia="Times New Roman" w:hAnsi="Times New Roman" w:cs="Times New Roman"/>
          <w:sz w:val="28"/>
          <w:szCs w:val="24"/>
        </w:rPr>
        <w:noBreakHyphen/>
        <w:t>ФЗ «О противодействии легализации (отмыванию) доходов, полученных преступным путём, и финансированию терроризма» (ред. от 28.12.2024) // Собрание законодательства РФ. — 2001. — № 33 (часть I). — Ст. 3418.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Налоговый кодекс Российской Федерации (часть вторая) от 05.08.2000 № 117</w:t>
      </w:r>
      <w:r w:rsidRPr="001138BB">
        <w:rPr>
          <w:rFonts w:ascii="Times New Roman" w:eastAsia="Times New Roman" w:hAnsi="Times New Roman" w:cs="Times New Roman"/>
          <w:sz w:val="28"/>
          <w:szCs w:val="24"/>
        </w:rPr>
        <w:noBreakHyphen/>
        <w:t>ФЗ (ред. от 22.07.2024) // Собрание законодательства РФ. — 2000. — № 32. — Ст. 3340.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Иванов А. А. Цифровые активы в системе объектов гражданских прав // Журнал российского права. — 2022. — № 5. — С. 45–58.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Петров В. С. Правовое регулирование криптовалют: опыт зарубежных стран // Международное право. — 2023. — № 2. — С. 112–125.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Сидоров Д. Н. Проблемы налогообложения цифровых финансовых активов // Финансовое право. — 2024. — № 1. — С. 33–40.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lastRenderedPageBreak/>
        <w:t>Козлова Е. В. Цифровые права как новый объект гражданского права // Законодательство. — 2021. — № 8. — С. 22–29.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Смирнов П. Л., Васильева Т. К. Правовой режим цифровых финансовых активов: российский и зарубежный опыт // Право и экономика. — 2023. — № 4. — С. 56–63.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 xml:space="preserve">Официальный сайт Центрального банка Российской Федерации [Электронный ресурс]. — URL: </w:t>
      </w:r>
      <w:hyperlink r:id="rId5" w:tgtFrame="_blank" w:history="1">
        <w:r w:rsidRPr="001138BB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</w:rPr>
          <w:t>https://cbr.ru</w:t>
        </w:r>
      </w:hyperlink>
      <w:r w:rsidRPr="001138BB">
        <w:rPr>
          <w:rFonts w:ascii="Times New Roman" w:eastAsia="Times New Roman" w:hAnsi="Times New Roman" w:cs="Times New Roman"/>
          <w:sz w:val="28"/>
          <w:szCs w:val="24"/>
        </w:rPr>
        <w:t xml:space="preserve"> (дата обращения: 25.04.2026).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Информационно</w:t>
      </w:r>
      <w:r w:rsidRPr="001138BB">
        <w:rPr>
          <w:rFonts w:ascii="Times New Roman" w:eastAsia="Times New Roman" w:hAnsi="Times New Roman" w:cs="Times New Roman"/>
          <w:sz w:val="28"/>
          <w:szCs w:val="24"/>
        </w:rPr>
        <w:noBreakHyphen/>
        <w:t xml:space="preserve">правовая система «КонсультантПлюс» [Электронный ресурс]. — URL: </w:t>
      </w:r>
      <w:hyperlink r:id="rId6" w:tgtFrame="_blank" w:history="1">
        <w:r w:rsidRPr="001138BB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</w:rPr>
          <w:t>https://www.consultant.ru</w:t>
        </w:r>
      </w:hyperlink>
      <w:r w:rsidRPr="001138BB">
        <w:rPr>
          <w:rFonts w:ascii="Times New Roman" w:eastAsia="Times New Roman" w:hAnsi="Times New Roman" w:cs="Times New Roman"/>
          <w:sz w:val="28"/>
          <w:szCs w:val="24"/>
        </w:rPr>
        <w:t xml:space="preserve"> (дата обращения: 25.04.2026).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>Информационно</w:t>
      </w:r>
      <w:r w:rsidRPr="001138BB">
        <w:rPr>
          <w:rFonts w:ascii="Times New Roman" w:eastAsia="Times New Roman" w:hAnsi="Times New Roman" w:cs="Times New Roman"/>
          <w:sz w:val="28"/>
          <w:szCs w:val="24"/>
        </w:rPr>
        <w:noBreakHyphen/>
        <w:t xml:space="preserve">правовой портал «Гарант» [Электронный ресурс]. — URL: </w:t>
      </w:r>
      <w:hyperlink r:id="rId7" w:tgtFrame="_blank" w:history="1">
        <w:r w:rsidRPr="001138BB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</w:rPr>
          <w:t>https://www.garant.ru</w:t>
        </w:r>
      </w:hyperlink>
      <w:r w:rsidRPr="001138BB">
        <w:rPr>
          <w:rFonts w:ascii="Times New Roman" w:eastAsia="Times New Roman" w:hAnsi="Times New Roman" w:cs="Times New Roman"/>
          <w:sz w:val="28"/>
          <w:szCs w:val="24"/>
        </w:rPr>
        <w:t xml:space="preserve"> (дата обращения: 26.04.2026).</w:t>
      </w:r>
    </w:p>
    <w:p w:rsidR="001138BB" w:rsidRPr="001138BB" w:rsidRDefault="001138BB" w:rsidP="001138B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138BB">
        <w:rPr>
          <w:rFonts w:ascii="Times New Roman" w:eastAsia="Times New Roman" w:hAnsi="Times New Roman" w:cs="Times New Roman"/>
          <w:sz w:val="28"/>
          <w:szCs w:val="24"/>
        </w:rPr>
        <w:t xml:space="preserve">Научная электронная библиотека «eLibrary.ru» [Электронный ресурс]. — URL: </w:t>
      </w:r>
      <w:hyperlink r:id="rId8" w:tgtFrame="_blank" w:history="1">
        <w:r w:rsidRPr="001138BB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</w:rPr>
          <w:t>https://elibrary.ru</w:t>
        </w:r>
      </w:hyperlink>
      <w:r w:rsidRPr="001138BB">
        <w:rPr>
          <w:rFonts w:ascii="Times New Roman" w:eastAsia="Times New Roman" w:hAnsi="Times New Roman" w:cs="Times New Roman"/>
          <w:sz w:val="28"/>
          <w:szCs w:val="24"/>
        </w:rPr>
        <w:t xml:space="preserve"> (дата обращения: 26.04.2026).</w:t>
      </w:r>
    </w:p>
    <w:p w:rsidR="001138BB" w:rsidRPr="0043652E" w:rsidRDefault="001138BB" w:rsidP="001138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652E" w:rsidRPr="0043652E" w:rsidRDefault="0043652E" w:rsidP="004365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0851" w:rsidRDefault="00320851"/>
    <w:sectPr w:rsidR="00320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6FCD"/>
    <w:multiLevelType w:val="multilevel"/>
    <w:tmpl w:val="39980B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57AF0"/>
    <w:multiLevelType w:val="multilevel"/>
    <w:tmpl w:val="6896D0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8B08D9"/>
    <w:multiLevelType w:val="multilevel"/>
    <w:tmpl w:val="50564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3E38A1"/>
    <w:multiLevelType w:val="multilevel"/>
    <w:tmpl w:val="53381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BF4452"/>
    <w:multiLevelType w:val="multilevel"/>
    <w:tmpl w:val="9B2C9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9974A2"/>
    <w:multiLevelType w:val="multilevel"/>
    <w:tmpl w:val="162AA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AA2B73"/>
    <w:multiLevelType w:val="multilevel"/>
    <w:tmpl w:val="80163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62210D"/>
    <w:multiLevelType w:val="multilevel"/>
    <w:tmpl w:val="CE88AD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775F0D"/>
    <w:multiLevelType w:val="multilevel"/>
    <w:tmpl w:val="A2425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18713C"/>
    <w:multiLevelType w:val="multilevel"/>
    <w:tmpl w:val="B14E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3E0AEB"/>
    <w:multiLevelType w:val="multilevel"/>
    <w:tmpl w:val="641861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1547DD"/>
    <w:multiLevelType w:val="multilevel"/>
    <w:tmpl w:val="4064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A8418E"/>
    <w:multiLevelType w:val="multilevel"/>
    <w:tmpl w:val="6A524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006BC0"/>
    <w:multiLevelType w:val="multilevel"/>
    <w:tmpl w:val="F55A2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6"/>
  </w:num>
  <w:num w:numId="5">
    <w:abstractNumId w:val="13"/>
  </w:num>
  <w:num w:numId="6">
    <w:abstractNumId w:val="1"/>
  </w:num>
  <w:num w:numId="7">
    <w:abstractNumId w:val="5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3652E"/>
    <w:rsid w:val="001138BB"/>
    <w:rsid w:val="00320851"/>
    <w:rsid w:val="0043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365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365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365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365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36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3652E"/>
    <w:rPr>
      <w:b/>
      <w:bCs/>
    </w:rPr>
  </w:style>
  <w:style w:type="table" w:styleId="a5">
    <w:name w:val="Table Grid"/>
    <w:basedOn w:val="a1"/>
    <w:uiPriority w:val="59"/>
    <w:rsid w:val="00436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138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" TargetMode="External"/><Relationship Id="rId5" Type="http://schemas.openxmlformats.org/officeDocument/2006/relationships/hyperlink" Target="https://cb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1200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3</cp:revision>
  <dcterms:created xsi:type="dcterms:W3CDTF">2026-04-26T14:50:00Z</dcterms:created>
  <dcterms:modified xsi:type="dcterms:W3CDTF">2026-04-26T15:00:00Z</dcterms:modified>
</cp:coreProperties>
</file>