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47BA5" w14:textId="77777777" w:rsidR="000E3C70" w:rsidRPr="00147344" w:rsidRDefault="000E3C70" w:rsidP="00147344">
      <w:pPr>
        <w:spacing w:after="0" w:line="240" w:lineRule="auto"/>
        <w:jc w:val="both"/>
        <w:rPr>
          <w:rFonts w:ascii="Times New Roman" w:hAnsi="Times New Roman"/>
          <w:sz w:val="28"/>
          <w:szCs w:val="28"/>
          <w:shd w:val="clear" w:color="auto" w:fill="FFFFFF"/>
        </w:rPr>
      </w:pPr>
    </w:p>
    <w:p w14:paraId="57E82DA6" w14:textId="77777777" w:rsidR="00147344" w:rsidRPr="00147344" w:rsidRDefault="00CB3A49" w:rsidP="00147344">
      <w:pPr>
        <w:pStyle w:val="Default"/>
        <w:ind w:firstLine="680"/>
        <w:jc w:val="right"/>
        <w:rPr>
          <w:b/>
          <w:bCs/>
          <w:sz w:val="28"/>
          <w:szCs w:val="28"/>
        </w:rPr>
      </w:pPr>
      <w:r>
        <w:rPr>
          <w:b/>
          <w:bCs/>
          <w:sz w:val="28"/>
          <w:szCs w:val="28"/>
        </w:rPr>
        <w:t>Репа Ефросинья Дмитриевна</w:t>
      </w:r>
    </w:p>
    <w:p w14:paraId="012C28CD" w14:textId="77777777" w:rsidR="00CB3A49" w:rsidRDefault="00147344" w:rsidP="00147344">
      <w:pPr>
        <w:pStyle w:val="Default"/>
        <w:ind w:firstLine="680"/>
        <w:jc w:val="right"/>
        <w:rPr>
          <w:sz w:val="28"/>
          <w:szCs w:val="28"/>
        </w:rPr>
      </w:pPr>
      <w:r w:rsidRPr="00147344">
        <w:rPr>
          <w:sz w:val="28"/>
          <w:szCs w:val="28"/>
        </w:rPr>
        <w:t xml:space="preserve">Дальневосточный филиал </w:t>
      </w:r>
      <w:r>
        <w:rPr>
          <w:sz w:val="28"/>
          <w:szCs w:val="28"/>
        </w:rPr>
        <w:t>«</w:t>
      </w:r>
      <w:r w:rsidRPr="00147344">
        <w:rPr>
          <w:sz w:val="28"/>
          <w:szCs w:val="28"/>
        </w:rPr>
        <w:t>Российского государственного университета правосудия</w:t>
      </w:r>
      <w:r>
        <w:rPr>
          <w:sz w:val="28"/>
          <w:szCs w:val="28"/>
        </w:rPr>
        <w:t xml:space="preserve"> имени В.М. Лебедева»</w:t>
      </w:r>
      <w:r w:rsidRPr="00147344">
        <w:rPr>
          <w:sz w:val="28"/>
          <w:szCs w:val="28"/>
        </w:rPr>
        <w:t xml:space="preserve">, г. Хабаровск, Россия, </w:t>
      </w:r>
    </w:p>
    <w:p w14:paraId="1625FEBE" w14:textId="77777777" w:rsidR="00147344" w:rsidRPr="007A04E7" w:rsidRDefault="00CB3A49" w:rsidP="00147344">
      <w:pPr>
        <w:pStyle w:val="Default"/>
        <w:ind w:firstLine="680"/>
        <w:jc w:val="right"/>
        <w:rPr>
          <w:sz w:val="28"/>
          <w:szCs w:val="28"/>
        </w:rPr>
      </w:pPr>
      <w:proofErr w:type="spellStart"/>
      <w:r>
        <w:rPr>
          <w:sz w:val="28"/>
          <w:szCs w:val="28"/>
          <w:lang w:val="en-US"/>
        </w:rPr>
        <w:t>frosiar</w:t>
      </w:r>
      <w:proofErr w:type="spellEnd"/>
      <w:r w:rsidRPr="007A04E7">
        <w:rPr>
          <w:sz w:val="28"/>
          <w:szCs w:val="28"/>
        </w:rPr>
        <w:t>0@</w:t>
      </w:r>
      <w:proofErr w:type="spellStart"/>
      <w:r>
        <w:rPr>
          <w:sz w:val="28"/>
          <w:szCs w:val="28"/>
          <w:lang w:val="en-US"/>
        </w:rPr>
        <w:t>gmail</w:t>
      </w:r>
      <w:proofErr w:type="spellEnd"/>
      <w:r w:rsidRPr="007A04E7">
        <w:rPr>
          <w:sz w:val="28"/>
          <w:szCs w:val="28"/>
        </w:rPr>
        <w:t>.</w:t>
      </w:r>
      <w:r>
        <w:rPr>
          <w:sz w:val="28"/>
          <w:szCs w:val="28"/>
          <w:lang w:val="en-US"/>
        </w:rPr>
        <w:t>com</w:t>
      </w:r>
    </w:p>
    <w:p w14:paraId="4AAA7054" w14:textId="77777777" w:rsidR="00147344" w:rsidRDefault="00147344" w:rsidP="00147344">
      <w:pPr>
        <w:spacing w:after="0" w:line="240" w:lineRule="auto"/>
        <w:ind w:firstLine="680"/>
        <w:jc w:val="center"/>
        <w:rPr>
          <w:rFonts w:ascii="Times New Roman" w:hAnsi="Times New Roman"/>
          <w:b/>
          <w:sz w:val="28"/>
          <w:szCs w:val="28"/>
        </w:rPr>
      </w:pPr>
    </w:p>
    <w:p w14:paraId="07A4196D" w14:textId="77777777" w:rsidR="00147344" w:rsidRDefault="00147344" w:rsidP="00147344">
      <w:pPr>
        <w:spacing w:after="0" w:line="240" w:lineRule="auto"/>
        <w:ind w:firstLine="680"/>
        <w:jc w:val="center"/>
        <w:rPr>
          <w:rFonts w:ascii="Times New Roman" w:hAnsi="Times New Roman"/>
          <w:b/>
          <w:sz w:val="28"/>
          <w:szCs w:val="28"/>
        </w:rPr>
      </w:pPr>
    </w:p>
    <w:p w14:paraId="5C0EA5B1" w14:textId="77777777" w:rsidR="00607B17" w:rsidRDefault="00607B17" w:rsidP="00337A61">
      <w:pPr>
        <w:widowControl w:val="0"/>
        <w:autoSpaceDE w:val="0"/>
        <w:autoSpaceDN w:val="0"/>
        <w:adjustRightInd w:val="0"/>
        <w:spacing w:before="240" w:after="0" w:line="240" w:lineRule="auto"/>
        <w:ind w:firstLine="680"/>
        <w:jc w:val="center"/>
        <w:rPr>
          <w:rFonts w:ascii="Times New Roman" w:hAnsi="Times New Roman"/>
          <w:b/>
          <w:iCs/>
          <w:color w:val="000000"/>
          <w:sz w:val="28"/>
          <w:szCs w:val="28"/>
        </w:rPr>
      </w:pPr>
      <w:proofErr w:type="spellStart"/>
      <w:r w:rsidRPr="00607B17">
        <w:rPr>
          <w:rFonts w:ascii="Times New Roman" w:hAnsi="Times New Roman"/>
          <w:b/>
          <w:iCs/>
          <w:color w:val="000000"/>
          <w:sz w:val="28"/>
          <w:szCs w:val="28"/>
        </w:rPr>
        <w:t>Тунгин</w:t>
      </w:r>
      <w:proofErr w:type="spellEnd"/>
      <w:r w:rsidRPr="00607B17">
        <w:rPr>
          <w:rFonts w:ascii="Times New Roman" w:hAnsi="Times New Roman"/>
          <w:b/>
          <w:iCs/>
          <w:color w:val="000000"/>
          <w:sz w:val="28"/>
          <w:szCs w:val="28"/>
        </w:rPr>
        <w:t xml:space="preserve"> - должностное лицо, организатор судопроизводства.</w:t>
      </w:r>
    </w:p>
    <w:p w14:paraId="6ABA2F91" w14:textId="122CCF05" w:rsidR="00597890" w:rsidRDefault="00597890" w:rsidP="00147344">
      <w:pPr>
        <w:widowControl w:val="0"/>
        <w:autoSpaceDE w:val="0"/>
        <w:autoSpaceDN w:val="0"/>
        <w:adjustRightInd w:val="0"/>
        <w:spacing w:before="240" w:after="0" w:line="240" w:lineRule="auto"/>
        <w:ind w:firstLine="680"/>
        <w:jc w:val="both"/>
        <w:rPr>
          <w:rFonts w:ascii="Times New Roman" w:hAnsi="Times New Roman"/>
          <w:bCs/>
          <w:iCs/>
          <w:sz w:val="28"/>
          <w:szCs w:val="28"/>
        </w:rPr>
      </w:pPr>
      <w:proofErr w:type="spellStart"/>
      <w:r w:rsidRPr="00147344">
        <w:rPr>
          <w:rFonts w:ascii="Times New Roman" w:hAnsi="Times New Roman"/>
          <w:b/>
          <w:iCs/>
          <w:color w:val="000000"/>
          <w:sz w:val="28"/>
          <w:szCs w:val="28"/>
        </w:rPr>
        <w:t>Аннотация</w:t>
      </w:r>
      <w:proofErr w:type="spellEnd"/>
      <w:r w:rsidRPr="00147344">
        <w:rPr>
          <w:rFonts w:ascii="Times New Roman" w:hAnsi="Times New Roman"/>
          <w:b/>
          <w:iCs/>
          <w:color w:val="000000"/>
          <w:sz w:val="28"/>
          <w:szCs w:val="28"/>
        </w:rPr>
        <w:t>:</w:t>
      </w:r>
      <w:r w:rsidR="00A972A5" w:rsidRPr="00A972A5">
        <w:rPr>
          <w:rFonts w:ascii="Segoe UI" w:hAnsi="Segoe UI" w:cs="Segoe UI"/>
          <w:color w:val="000000"/>
          <w:shd w:val="clear" w:color="auto" w:fill="EEFFDE"/>
        </w:rPr>
        <w:t xml:space="preserve"> </w:t>
      </w:r>
      <w:r w:rsidR="00607B17" w:rsidRPr="00607B17">
        <w:rPr>
          <w:rFonts w:ascii="Times New Roman" w:hAnsi="Times New Roman"/>
          <w:bCs/>
          <w:iCs/>
          <w:sz w:val="28"/>
          <w:szCs w:val="28"/>
        </w:rPr>
        <w:t xml:space="preserve">В статье рассматривается правовое положение и функции </w:t>
      </w:r>
      <w:proofErr w:type="spellStart"/>
      <w:r w:rsidR="00607B17" w:rsidRPr="00607B17">
        <w:rPr>
          <w:rFonts w:ascii="Times New Roman" w:hAnsi="Times New Roman"/>
          <w:bCs/>
          <w:iCs/>
          <w:sz w:val="28"/>
          <w:szCs w:val="28"/>
        </w:rPr>
        <w:t>тунгина</w:t>
      </w:r>
      <w:proofErr w:type="spellEnd"/>
      <w:r w:rsidR="00607B17" w:rsidRPr="00607B17">
        <w:rPr>
          <w:rFonts w:ascii="Times New Roman" w:hAnsi="Times New Roman"/>
          <w:bCs/>
          <w:iCs/>
          <w:sz w:val="28"/>
          <w:szCs w:val="28"/>
        </w:rPr>
        <w:t xml:space="preserve"> (</w:t>
      </w:r>
      <w:proofErr w:type="spellStart"/>
      <w:r w:rsidR="00607B17" w:rsidRPr="00607B17">
        <w:rPr>
          <w:rFonts w:ascii="Times New Roman" w:hAnsi="Times New Roman"/>
          <w:bCs/>
          <w:iCs/>
          <w:sz w:val="28"/>
          <w:szCs w:val="28"/>
        </w:rPr>
        <w:t>thunginus</w:t>
      </w:r>
      <w:proofErr w:type="spellEnd"/>
      <w:r w:rsidR="00607B17" w:rsidRPr="00607B17">
        <w:rPr>
          <w:rFonts w:ascii="Times New Roman" w:hAnsi="Times New Roman"/>
          <w:bCs/>
          <w:iCs/>
          <w:sz w:val="28"/>
          <w:szCs w:val="28"/>
        </w:rPr>
        <w:t xml:space="preserve">) — особого должностного лица, зафиксированного в </w:t>
      </w:r>
      <w:proofErr w:type="spellStart"/>
      <w:r w:rsidR="00607B17" w:rsidRPr="00607B17">
        <w:rPr>
          <w:rFonts w:ascii="Times New Roman" w:hAnsi="Times New Roman"/>
          <w:bCs/>
          <w:iCs/>
          <w:sz w:val="28"/>
          <w:szCs w:val="28"/>
        </w:rPr>
        <w:t>Lex</w:t>
      </w:r>
      <w:proofErr w:type="spellEnd"/>
      <w:r w:rsidR="00607B17" w:rsidRPr="00607B17">
        <w:rPr>
          <w:rFonts w:ascii="Times New Roman" w:hAnsi="Times New Roman"/>
          <w:bCs/>
          <w:iCs/>
          <w:sz w:val="28"/>
          <w:szCs w:val="28"/>
        </w:rPr>
        <w:t xml:space="preserve"> </w:t>
      </w:r>
      <w:proofErr w:type="spellStart"/>
      <w:r w:rsidR="00607B17" w:rsidRPr="00607B17">
        <w:rPr>
          <w:rFonts w:ascii="Times New Roman" w:hAnsi="Times New Roman"/>
          <w:bCs/>
          <w:iCs/>
          <w:sz w:val="28"/>
          <w:szCs w:val="28"/>
        </w:rPr>
        <w:t>Salica</w:t>
      </w:r>
      <w:proofErr w:type="spellEnd"/>
      <w:r w:rsidR="00607B17" w:rsidRPr="00607B17">
        <w:rPr>
          <w:rFonts w:ascii="Times New Roman" w:hAnsi="Times New Roman"/>
          <w:bCs/>
          <w:iCs/>
          <w:sz w:val="28"/>
          <w:szCs w:val="28"/>
        </w:rPr>
        <w:t xml:space="preserve"> и осуществлявшего руководство сотенным судебным собранием у салических франков в VI столетии. На основе анализа текста Салической правды и последующей историко-правовой традиции исследуются генезис этой должности, объём властных полномочий </w:t>
      </w:r>
      <w:proofErr w:type="spellStart"/>
      <w:r w:rsidR="00607B17" w:rsidRPr="00607B17">
        <w:rPr>
          <w:rFonts w:ascii="Times New Roman" w:hAnsi="Times New Roman"/>
          <w:bCs/>
          <w:iCs/>
          <w:sz w:val="28"/>
          <w:szCs w:val="28"/>
        </w:rPr>
        <w:t>тунгина</w:t>
      </w:r>
      <w:proofErr w:type="spellEnd"/>
      <w:r w:rsidR="00607B17" w:rsidRPr="00607B17">
        <w:rPr>
          <w:rFonts w:ascii="Times New Roman" w:hAnsi="Times New Roman"/>
          <w:bCs/>
          <w:iCs/>
          <w:sz w:val="28"/>
          <w:szCs w:val="28"/>
        </w:rPr>
        <w:t xml:space="preserve">, его соотношение с </w:t>
      </w:r>
      <w:proofErr w:type="spellStart"/>
      <w:r w:rsidR="00607B17" w:rsidRPr="00607B17">
        <w:rPr>
          <w:rFonts w:ascii="Times New Roman" w:hAnsi="Times New Roman"/>
          <w:bCs/>
          <w:iCs/>
          <w:sz w:val="28"/>
          <w:szCs w:val="28"/>
        </w:rPr>
        <w:t>центенаром</w:t>
      </w:r>
      <w:proofErr w:type="spellEnd"/>
      <w:r w:rsidR="00607B17" w:rsidRPr="00607B17">
        <w:rPr>
          <w:rFonts w:ascii="Times New Roman" w:hAnsi="Times New Roman"/>
          <w:bCs/>
          <w:iCs/>
          <w:sz w:val="28"/>
          <w:szCs w:val="28"/>
        </w:rPr>
        <w:t xml:space="preserve"> и графом, а также историческая трансформация данного института в условиях перехода от племенных структур к раннефеодальной государственности Меровингов. Особое внимание уделено роли </w:t>
      </w:r>
      <w:proofErr w:type="spellStart"/>
      <w:r w:rsidR="00607B17" w:rsidRPr="00607B17">
        <w:rPr>
          <w:rFonts w:ascii="Times New Roman" w:hAnsi="Times New Roman"/>
          <w:bCs/>
          <w:iCs/>
          <w:sz w:val="28"/>
          <w:szCs w:val="28"/>
        </w:rPr>
        <w:t>тунгина</w:t>
      </w:r>
      <w:proofErr w:type="spellEnd"/>
      <w:r w:rsidR="00607B17" w:rsidRPr="00607B17">
        <w:rPr>
          <w:rFonts w:ascii="Times New Roman" w:hAnsi="Times New Roman"/>
          <w:bCs/>
          <w:iCs/>
          <w:sz w:val="28"/>
          <w:szCs w:val="28"/>
        </w:rPr>
        <w:t xml:space="preserve"> в осуществлении правосудия и причинам его исчезновения уже в первых капитуляриях, дополняющих Салическую </w:t>
      </w:r>
      <w:proofErr w:type="spellStart"/>
      <w:proofErr w:type="gramStart"/>
      <w:r w:rsidR="00607B17" w:rsidRPr="00607B17">
        <w:rPr>
          <w:rFonts w:ascii="Times New Roman" w:hAnsi="Times New Roman"/>
          <w:bCs/>
          <w:iCs/>
          <w:sz w:val="28"/>
          <w:szCs w:val="28"/>
        </w:rPr>
        <w:t>правду.</w:t>
      </w:r>
      <w:r w:rsidR="00774774" w:rsidRPr="00607B17">
        <w:rPr>
          <w:rFonts w:ascii="Times New Roman" w:hAnsi="Times New Roman"/>
          <w:bCs/>
          <w:iCs/>
          <w:sz w:val="28"/>
          <w:szCs w:val="28"/>
        </w:rPr>
        <w:t>Ключевые</w:t>
      </w:r>
      <w:proofErr w:type="spellEnd"/>
      <w:proofErr w:type="gramEnd"/>
      <w:r w:rsidR="00774774" w:rsidRPr="00607B17">
        <w:rPr>
          <w:rFonts w:ascii="Times New Roman" w:hAnsi="Times New Roman"/>
          <w:bCs/>
          <w:iCs/>
          <w:sz w:val="28"/>
          <w:szCs w:val="28"/>
        </w:rPr>
        <w:t xml:space="preserve"> слова:</w:t>
      </w:r>
      <w:r w:rsidR="00851020" w:rsidRPr="00607B17">
        <w:rPr>
          <w:rFonts w:ascii="Times New Roman" w:hAnsi="Times New Roman"/>
          <w:bCs/>
          <w:iCs/>
          <w:sz w:val="28"/>
          <w:szCs w:val="28"/>
        </w:rPr>
        <w:t xml:space="preserve"> </w:t>
      </w:r>
      <w:r w:rsidR="00187A93" w:rsidRPr="00607B17">
        <w:rPr>
          <w:rFonts w:ascii="Times New Roman" w:hAnsi="Times New Roman"/>
          <w:bCs/>
          <w:iCs/>
          <w:sz w:val="28"/>
          <w:szCs w:val="28"/>
        </w:rPr>
        <w:t>Великая отечественная война, героизм советских солдат, стойкость русских солдат.</w:t>
      </w:r>
    </w:p>
    <w:p w14:paraId="54DAD641" w14:textId="4102591B" w:rsidR="00607B17" w:rsidRPr="00607B17" w:rsidRDefault="00607B17" w:rsidP="00147344">
      <w:pPr>
        <w:widowControl w:val="0"/>
        <w:autoSpaceDE w:val="0"/>
        <w:autoSpaceDN w:val="0"/>
        <w:adjustRightInd w:val="0"/>
        <w:spacing w:before="240" w:after="0" w:line="240" w:lineRule="auto"/>
        <w:ind w:firstLine="680"/>
        <w:jc w:val="both"/>
        <w:rPr>
          <w:rFonts w:ascii="Times New Roman" w:hAnsi="Times New Roman"/>
          <w:bCs/>
          <w:iCs/>
          <w:sz w:val="28"/>
          <w:szCs w:val="28"/>
        </w:rPr>
      </w:pPr>
      <w:r w:rsidRPr="00607B17">
        <w:rPr>
          <w:rFonts w:ascii="Times New Roman" w:hAnsi="Times New Roman"/>
          <w:b/>
          <w:iCs/>
          <w:sz w:val="28"/>
          <w:szCs w:val="28"/>
        </w:rPr>
        <w:t>Ключевые слова:</w:t>
      </w:r>
      <w:r w:rsidRPr="00607B17">
        <w:rPr>
          <w:rFonts w:ascii="Times New Roman" w:hAnsi="Times New Roman"/>
          <w:bCs/>
          <w:iCs/>
          <w:sz w:val="28"/>
          <w:szCs w:val="28"/>
        </w:rPr>
        <w:t xml:space="preserve"> </w:t>
      </w:r>
      <w:proofErr w:type="spellStart"/>
      <w:r w:rsidRPr="00607B17">
        <w:rPr>
          <w:rFonts w:ascii="Times New Roman" w:hAnsi="Times New Roman"/>
          <w:bCs/>
          <w:iCs/>
          <w:sz w:val="28"/>
          <w:szCs w:val="28"/>
        </w:rPr>
        <w:t>тунгин</w:t>
      </w:r>
      <w:proofErr w:type="spellEnd"/>
      <w:r w:rsidRPr="00607B17">
        <w:rPr>
          <w:rFonts w:ascii="Times New Roman" w:hAnsi="Times New Roman"/>
          <w:bCs/>
          <w:iCs/>
          <w:sz w:val="28"/>
          <w:szCs w:val="28"/>
        </w:rPr>
        <w:t xml:space="preserve">, Салическая правда, организация судопроизводства, сотенное собрание, </w:t>
      </w:r>
      <w:proofErr w:type="spellStart"/>
      <w:r w:rsidRPr="00607B17">
        <w:rPr>
          <w:rFonts w:ascii="Times New Roman" w:hAnsi="Times New Roman"/>
          <w:bCs/>
          <w:iCs/>
          <w:sz w:val="28"/>
          <w:szCs w:val="28"/>
        </w:rPr>
        <w:t>маллюс</w:t>
      </w:r>
      <w:proofErr w:type="spellEnd"/>
      <w:r w:rsidRPr="00607B17">
        <w:rPr>
          <w:rFonts w:ascii="Times New Roman" w:hAnsi="Times New Roman"/>
          <w:bCs/>
          <w:iCs/>
          <w:sz w:val="28"/>
          <w:szCs w:val="28"/>
        </w:rPr>
        <w:t xml:space="preserve">, </w:t>
      </w:r>
      <w:proofErr w:type="spellStart"/>
      <w:r w:rsidRPr="00607B17">
        <w:rPr>
          <w:rFonts w:ascii="Times New Roman" w:hAnsi="Times New Roman"/>
          <w:bCs/>
          <w:iCs/>
          <w:sz w:val="28"/>
          <w:szCs w:val="28"/>
        </w:rPr>
        <w:t>центенар</w:t>
      </w:r>
      <w:proofErr w:type="spellEnd"/>
      <w:r w:rsidRPr="00607B17">
        <w:rPr>
          <w:rFonts w:ascii="Times New Roman" w:hAnsi="Times New Roman"/>
          <w:bCs/>
          <w:iCs/>
          <w:sz w:val="28"/>
          <w:szCs w:val="28"/>
        </w:rPr>
        <w:t>, граф, франки, Меровинги, варварские правды.</w:t>
      </w:r>
    </w:p>
    <w:p w14:paraId="03BFAC77" w14:textId="77777777" w:rsidR="00147344" w:rsidRDefault="00147344" w:rsidP="00AD7189">
      <w:pPr>
        <w:widowControl w:val="0"/>
        <w:autoSpaceDE w:val="0"/>
        <w:autoSpaceDN w:val="0"/>
        <w:adjustRightInd w:val="0"/>
        <w:spacing w:before="240" w:after="0" w:line="240" w:lineRule="auto"/>
        <w:rPr>
          <w:rFonts w:ascii="Times New Roman" w:hAnsi="Times New Roman"/>
          <w:b/>
          <w:bCs/>
          <w:color w:val="000000"/>
          <w:sz w:val="28"/>
          <w:szCs w:val="28"/>
        </w:rPr>
      </w:pPr>
    </w:p>
    <w:p w14:paraId="439ED44C" w14:textId="786166FE" w:rsidR="002530E9" w:rsidRPr="00147344" w:rsidRDefault="00337A61" w:rsidP="00337A61">
      <w:pPr>
        <w:widowControl w:val="0"/>
        <w:autoSpaceDE w:val="0"/>
        <w:autoSpaceDN w:val="0"/>
        <w:adjustRightInd w:val="0"/>
        <w:spacing w:before="19" w:after="20" w:line="240" w:lineRule="auto"/>
        <w:ind w:firstLine="680"/>
        <w:jc w:val="center"/>
        <w:rPr>
          <w:rFonts w:ascii="Times New Roman" w:hAnsi="Times New Roman"/>
          <w:b/>
          <w:iCs/>
          <w:color w:val="000000"/>
          <w:sz w:val="28"/>
          <w:szCs w:val="28"/>
          <w:lang w:val="en-US"/>
        </w:rPr>
      </w:pPr>
      <w:proofErr w:type="spellStart"/>
      <w:r w:rsidRPr="00337A61">
        <w:rPr>
          <w:rFonts w:ascii="Times New Roman" w:hAnsi="Times New Roman"/>
          <w:b/>
          <w:bCs/>
          <w:color w:val="000000"/>
          <w:sz w:val="28"/>
          <w:szCs w:val="28"/>
          <w:lang w:val="en-US"/>
        </w:rPr>
        <w:t>Tungin</w:t>
      </w:r>
      <w:proofErr w:type="spellEnd"/>
      <w:r w:rsidRPr="00337A61">
        <w:rPr>
          <w:rFonts w:ascii="Times New Roman" w:hAnsi="Times New Roman"/>
          <w:b/>
          <w:bCs/>
          <w:color w:val="000000"/>
          <w:sz w:val="28"/>
          <w:szCs w:val="28"/>
          <w:lang w:val="en-US"/>
        </w:rPr>
        <w:t xml:space="preserve"> is an official, organizer of the proceedings.</w:t>
      </w:r>
    </w:p>
    <w:p w14:paraId="3F434EA3" w14:textId="77777777" w:rsidR="00165FF2" w:rsidRPr="00147344" w:rsidRDefault="00CB3A49" w:rsidP="00147344">
      <w:pPr>
        <w:widowControl w:val="0"/>
        <w:autoSpaceDE w:val="0"/>
        <w:autoSpaceDN w:val="0"/>
        <w:adjustRightInd w:val="0"/>
        <w:spacing w:before="19" w:after="20" w:line="240" w:lineRule="auto"/>
        <w:ind w:firstLine="680"/>
        <w:jc w:val="both"/>
        <w:rPr>
          <w:rFonts w:ascii="Times New Roman" w:hAnsi="Times New Roman"/>
          <w:b/>
          <w:iCs/>
          <w:color w:val="000000"/>
          <w:sz w:val="28"/>
          <w:szCs w:val="28"/>
          <w:lang w:val="en-US"/>
        </w:rPr>
      </w:pPr>
      <w:r>
        <w:rPr>
          <w:rFonts w:ascii="Times New Roman" w:hAnsi="Times New Roman"/>
          <w:b/>
          <w:iCs/>
          <w:color w:val="000000"/>
          <w:sz w:val="28"/>
          <w:szCs w:val="28"/>
          <w:lang w:val="en-US"/>
        </w:rPr>
        <w:t>Repa E.D.</w:t>
      </w:r>
      <w:r w:rsidR="002530E9" w:rsidRPr="00147344">
        <w:rPr>
          <w:rFonts w:ascii="Times New Roman" w:hAnsi="Times New Roman"/>
          <w:b/>
          <w:iCs/>
          <w:color w:val="000000"/>
          <w:sz w:val="28"/>
          <w:szCs w:val="28"/>
          <w:lang w:val="en-IN"/>
        </w:rPr>
        <w:t xml:space="preserve"> </w:t>
      </w:r>
      <w:r w:rsidR="00165FF2" w:rsidRPr="00147344">
        <w:rPr>
          <w:rFonts w:ascii="Times New Roman" w:hAnsi="Times New Roman"/>
          <w:bCs/>
          <w:iCs/>
          <w:color w:val="000000"/>
          <w:sz w:val="28"/>
          <w:szCs w:val="28"/>
          <w:lang w:val="en-US"/>
        </w:rPr>
        <w:t xml:space="preserve">is a student of the Far Eastern Branch of the Russian State University, Khabarovsk, </w:t>
      </w:r>
      <w:r w:rsidR="007A51CF">
        <w:rPr>
          <w:rFonts w:ascii="Times New Roman" w:hAnsi="Times New Roman"/>
          <w:bCs/>
          <w:iCs/>
          <w:color w:val="000000"/>
          <w:sz w:val="28"/>
          <w:szCs w:val="28"/>
          <w:lang w:val="en-US"/>
        </w:rPr>
        <w:t xml:space="preserve">Russia, </w:t>
      </w:r>
      <w:r>
        <w:rPr>
          <w:rFonts w:ascii="Times New Roman" w:hAnsi="Times New Roman"/>
          <w:sz w:val="28"/>
          <w:szCs w:val="28"/>
          <w:lang w:val="en-US"/>
        </w:rPr>
        <w:t>frosiar0@gmail.com</w:t>
      </w:r>
    </w:p>
    <w:p w14:paraId="00FEB347" w14:textId="77777777" w:rsidR="00337A61" w:rsidRDefault="00337A61" w:rsidP="00147344">
      <w:pPr>
        <w:widowControl w:val="0"/>
        <w:autoSpaceDE w:val="0"/>
        <w:autoSpaceDN w:val="0"/>
        <w:adjustRightInd w:val="0"/>
        <w:spacing w:before="240" w:after="0" w:line="240" w:lineRule="auto"/>
        <w:ind w:firstLine="680"/>
        <w:jc w:val="both"/>
        <w:rPr>
          <w:rFonts w:ascii="Times New Roman" w:hAnsi="Times New Roman"/>
          <w:color w:val="000000"/>
          <w:sz w:val="28"/>
          <w:szCs w:val="28"/>
        </w:rPr>
      </w:pPr>
      <w:r w:rsidRPr="00337A61">
        <w:rPr>
          <w:rFonts w:ascii="Times New Roman" w:hAnsi="Times New Roman"/>
          <w:b/>
          <w:bCs/>
          <w:color w:val="000000"/>
          <w:sz w:val="28"/>
          <w:szCs w:val="28"/>
          <w:lang w:val="en-US"/>
        </w:rPr>
        <w:t xml:space="preserve">Abstract: </w:t>
      </w:r>
      <w:r w:rsidRPr="00337A61">
        <w:rPr>
          <w:rFonts w:ascii="Times New Roman" w:hAnsi="Times New Roman"/>
          <w:color w:val="000000"/>
          <w:sz w:val="28"/>
          <w:szCs w:val="28"/>
          <w:lang w:val="en-US"/>
        </w:rPr>
        <w:t xml:space="preserve">The article examines the legal status and functions of the </w:t>
      </w:r>
      <w:proofErr w:type="spellStart"/>
      <w:r w:rsidRPr="00337A61">
        <w:rPr>
          <w:rFonts w:ascii="Times New Roman" w:hAnsi="Times New Roman"/>
          <w:color w:val="000000"/>
          <w:sz w:val="28"/>
          <w:szCs w:val="28"/>
          <w:lang w:val="en-US"/>
        </w:rPr>
        <w:t>thungin</w:t>
      </w:r>
      <w:proofErr w:type="spellEnd"/>
      <w:r w:rsidRPr="00337A61">
        <w:rPr>
          <w:rFonts w:ascii="Times New Roman" w:hAnsi="Times New Roman"/>
          <w:color w:val="000000"/>
          <w:sz w:val="28"/>
          <w:szCs w:val="28"/>
          <w:lang w:val="en-US"/>
        </w:rPr>
        <w:t xml:space="preserve"> (</w:t>
      </w:r>
      <w:proofErr w:type="spellStart"/>
      <w:r w:rsidRPr="00337A61">
        <w:rPr>
          <w:rFonts w:ascii="Times New Roman" w:hAnsi="Times New Roman"/>
          <w:color w:val="000000"/>
          <w:sz w:val="28"/>
          <w:szCs w:val="28"/>
          <w:lang w:val="en-US"/>
        </w:rPr>
        <w:t>thunginus</w:t>
      </w:r>
      <w:proofErr w:type="spellEnd"/>
      <w:r w:rsidRPr="00337A61">
        <w:rPr>
          <w:rFonts w:ascii="Times New Roman" w:hAnsi="Times New Roman"/>
          <w:color w:val="000000"/>
          <w:sz w:val="28"/>
          <w:szCs w:val="28"/>
          <w:lang w:val="en-US"/>
        </w:rPr>
        <w:t xml:space="preserve">), a special official recorded in the Lex Salica and who led the hundredth judicial assembly of the Salic Franks in the sixth century. Based on the analysis of the text of the </w:t>
      </w:r>
      <w:proofErr w:type="spellStart"/>
      <w:r w:rsidRPr="00337A61">
        <w:rPr>
          <w:rFonts w:ascii="Times New Roman" w:hAnsi="Times New Roman"/>
          <w:color w:val="000000"/>
          <w:sz w:val="28"/>
          <w:szCs w:val="28"/>
          <w:lang w:val="en-US"/>
        </w:rPr>
        <w:t>Salicic</w:t>
      </w:r>
      <w:proofErr w:type="spellEnd"/>
      <w:r w:rsidRPr="00337A61">
        <w:rPr>
          <w:rFonts w:ascii="Times New Roman" w:hAnsi="Times New Roman"/>
          <w:color w:val="000000"/>
          <w:sz w:val="28"/>
          <w:szCs w:val="28"/>
          <w:lang w:val="en-US"/>
        </w:rPr>
        <w:t xml:space="preserve"> Truth and the subsequent historical and legal tradition, the genesis of this position, the scope of </w:t>
      </w:r>
      <w:proofErr w:type="spellStart"/>
      <w:r w:rsidRPr="00337A61">
        <w:rPr>
          <w:rFonts w:ascii="Times New Roman" w:hAnsi="Times New Roman"/>
          <w:color w:val="000000"/>
          <w:sz w:val="28"/>
          <w:szCs w:val="28"/>
          <w:lang w:val="en-US"/>
        </w:rPr>
        <w:t>Tungin's</w:t>
      </w:r>
      <w:proofErr w:type="spellEnd"/>
      <w:r w:rsidRPr="00337A61">
        <w:rPr>
          <w:rFonts w:ascii="Times New Roman" w:hAnsi="Times New Roman"/>
          <w:color w:val="000000"/>
          <w:sz w:val="28"/>
          <w:szCs w:val="28"/>
          <w:lang w:val="en-US"/>
        </w:rPr>
        <w:t xml:space="preserve"> powers, his relationship with centenar and count, as well as the historical transformation of this institution in the context of the transition from tribal structures to the early feudal Merovingian statehood are investigated. Special attention is paid to the role of the </w:t>
      </w:r>
      <w:proofErr w:type="spellStart"/>
      <w:r w:rsidRPr="00337A61">
        <w:rPr>
          <w:rFonts w:ascii="Times New Roman" w:hAnsi="Times New Roman"/>
          <w:color w:val="000000"/>
          <w:sz w:val="28"/>
          <w:szCs w:val="28"/>
          <w:lang w:val="en-US"/>
        </w:rPr>
        <w:t>tungin</w:t>
      </w:r>
      <w:proofErr w:type="spellEnd"/>
      <w:r w:rsidRPr="00337A61">
        <w:rPr>
          <w:rFonts w:ascii="Times New Roman" w:hAnsi="Times New Roman"/>
          <w:color w:val="000000"/>
          <w:sz w:val="28"/>
          <w:szCs w:val="28"/>
          <w:lang w:val="en-US"/>
        </w:rPr>
        <w:t xml:space="preserve"> in the administration of justice and the reasons for its disappearance in the first capitulations that supplement the</w:t>
      </w:r>
      <w:r w:rsidRPr="00337A61">
        <w:rPr>
          <w:rFonts w:ascii="Times New Roman" w:hAnsi="Times New Roman"/>
          <w:b/>
          <w:bCs/>
          <w:color w:val="000000"/>
          <w:sz w:val="28"/>
          <w:szCs w:val="28"/>
          <w:lang w:val="en-US"/>
        </w:rPr>
        <w:t xml:space="preserve"> </w:t>
      </w:r>
      <w:r w:rsidRPr="00337A61">
        <w:rPr>
          <w:rFonts w:ascii="Times New Roman" w:hAnsi="Times New Roman"/>
          <w:color w:val="000000"/>
          <w:sz w:val="28"/>
          <w:szCs w:val="28"/>
          <w:lang w:val="en-US"/>
        </w:rPr>
        <w:t>Salic Truth.</w:t>
      </w:r>
    </w:p>
    <w:p w14:paraId="37DF7E89" w14:textId="124772BA" w:rsidR="00187A93" w:rsidRPr="00337A61" w:rsidRDefault="00337A61" w:rsidP="00147344">
      <w:pPr>
        <w:widowControl w:val="0"/>
        <w:autoSpaceDE w:val="0"/>
        <w:autoSpaceDN w:val="0"/>
        <w:adjustRightInd w:val="0"/>
        <w:spacing w:before="240" w:after="0" w:line="240" w:lineRule="auto"/>
        <w:ind w:firstLine="680"/>
        <w:jc w:val="both"/>
        <w:rPr>
          <w:rFonts w:ascii="Times New Roman" w:hAnsi="Times New Roman"/>
          <w:color w:val="000000"/>
          <w:sz w:val="28"/>
          <w:szCs w:val="28"/>
          <w:lang w:val="en-US"/>
        </w:rPr>
      </w:pPr>
      <w:r w:rsidRPr="00337A61">
        <w:rPr>
          <w:rFonts w:ascii="Times New Roman" w:hAnsi="Times New Roman"/>
          <w:b/>
          <w:bCs/>
          <w:color w:val="000000"/>
          <w:sz w:val="28"/>
          <w:szCs w:val="28"/>
          <w:lang w:val="en-US"/>
        </w:rPr>
        <w:lastRenderedPageBreak/>
        <w:t xml:space="preserve">Keywords: </w:t>
      </w:r>
      <w:proofErr w:type="spellStart"/>
      <w:r w:rsidRPr="00337A61">
        <w:rPr>
          <w:rFonts w:ascii="Times New Roman" w:hAnsi="Times New Roman"/>
          <w:color w:val="000000"/>
          <w:sz w:val="28"/>
          <w:szCs w:val="28"/>
          <w:lang w:val="en-US"/>
        </w:rPr>
        <w:t>Tungin</w:t>
      </w:r>
      <w:proofErr w:type="spellEnd"/>
      <w:r w:rsidRPr="00337A61">
        <w:rPr>
          <w:rFonts w:ascii="Times New Roman" w:hAnsi="Times New Roman"/>
          <w:color w:val="000000"/>
          <w:sz w:val="28"/>
          <w:szCs w:val="28"/>
          <w:lang w:val="en-US"/>
        </w:rPr>
        <w:t xml:space="preserve">, Salic Law, judicial organization, hundred assembly, </w:t>
      </w:r>
      <w:proofErr w:type="spellStart"/>
      <w:r w:rsidRPr="00337A61">
        <w:rPr>
          <w:rFonts w:ascii="Times New Roman" w:hAnsi="Times New Roman"/>
          <w:color w:val="000000"/>
          <w:sz w:val="28"/>
          <w:szCs w:val="28"/>
          <w:lang w:val="en-US"/>
        </w:rPr>
        <w:t>Mallus</w:t>
      </w:r>
      <w:proofErr w:type="spellEnd"/>
      <w:r w:rsidRPr="00337A61">
        <w:rPr>
          <w:rFonts w:ascii="Times New Roman" w:hAnsi="Times New Roman"/>
          <w:color w:val="000000"/>
          <w:sz w:val="28"/>
          <w:szCs w:val="28"/>
          <w:lang w:val="en-US"/>
        </w:rPr>
        <w:t>, Centenar, count, Franks, Merovingians, barbarian laws.</w:t>
      </w:r>
    </w:p>
    <w:p w14:paraId="25340ECB" w14:textId="77777777" w:rsidR="00337A61" w:rsidRPr="00337A61" w:rsidRDefault="00337A61" w:rsidP="00187A93">
      <w:pPr>
        <w:spacing w:after="0" w:line="240" w:lineRule="auto"/>
        <w:ind w:firstLine="680"/>
        <w:jc w:val="both"/>
        <w:rPr>
          <w:rFonts w:ascii="Times New Roman" w:hAnsi="Times New Roman"/>
          <w:bCs/>
          <w:iCs/>
          <w:sz w:val="28"/>
          <w:szCs w:val="28"/>
          <w:lang w:val="en-US"/>
        </w:rPr>
      </w:pPr>
    </w:p>
    <w:p w14:paraId="6139788B" w14:textId="1A203EE9"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roofErr w:type="spellStart"/>
      <w:r w:rsidRPr="009C227A">
        <w:rPr>
          <w:rFonts w:ascii="Times New Roman" w:hAnsi="Times New Roman"/>
          <w:bCs/>
          <w:iCs/>
          <w:color w:val="000000"/>
          <w:sz w:val="28"/>
          <w:szCs w:val="28"/>
        </w:rPr>
        <w:t>Lex</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Salica</w:t>
      </w:r>
      <w:proofErr w:type="spellEnd"/>
      <w:r w:rsidRPr="009C227A">
        <w:rPr>
          <w:rFonts w:ascii="Times New Roman" w:hAnsi="Times New Roman"/>
          <w:bCs/>
          <w:iCs/>
          <w:color w:val="000000"/>
          <w:sz w:val="28"/>
          <w:szCs w:val="28"/>
        </w:rPr>
        <w:t>, возникшая в начале VI века в правление Хлодвига I, принадлежит к числу наиболее ранних и содержательных памятников обычного права германских народов, находившихся на стадии разложения родоплеменных отношений и складывания раннефеодальной государственности. Отражённая в этом источнике правовая система имела переходный характер: в ней удерживались многочисленные архаические институты, восходящие к племенному прошлому, и одновременно явственно сказывалось воздействие укреплявшейся королевской власти, стремившейся подчинить себе все стороны общественной жизни, включая судебную сферу.</w:t>
      </w:r>
    </w:p>
    <w:p w14:paraId="74D25DB6"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Одним из ключевых, но недостаточно изученных в отечественной науке институтов этой переходной эпохи являлась должность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 лица, председательствовавшего на судебном собрании сотни. Фигура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вызывает немалый научный интерес, поскольку в ней сконцентрированы противоречия и особенности судебной организации ранних франков. Цель настоящей статьи — опираясь на источники и историографию, воссоздать правовой статус, функции и историческую судьбу института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в системе правосудия салических франков.</w:t>
      </w:r>
    </w:p>
    <w:p w14:paraId="4561FA90"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p>
    <w:p w14:paraId="5AD6526F"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Исторический контекст и источники</w:t>
      </w:r>
    </w:p>
    <w:p w14:paraId="6B254A48"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575C65E9" w14:textId="621A344E"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Салическая правда была письменно зафиксирована при Хлодвиге I (приблизительно 507–511 гг.) и первоначально насчитывала 65 титулов (глав), содержавших главным образом перечни штрафов за различные правонарушения и описание процессуальных процедур. Текст памятника отражает сложное переплетение древнегерманских правовых обычаев и новых начал государственного права, привносимых королевской властью Меровингов.</w:t>
      </w:r>
    </w:p>
    <w:p w14:paraId="0EBE8572"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Основные сведения о </w:t>
      </w:r>
      <w:proofErr w:type="spellStart"/>
      <w:r w:rsidRPr="009C227A">
        <w:rPr>
          <w:rFonts w:ascii="Times New Roman" w:hAnsi="Times New Roman"/>
          <w:bCs/>
          <w:iCs/>
          <w:color w:val="000000"/>
          <w:sz w:val="28"/>
          <w:szCs w:val="28"/>
        </w:rPr>
        <w:t>тунгине</w:t>
      </w:r>
      <w:proofErr w:type="spellEnd"/>
      <w:r w:rsidRPr="009C227A">
        <w:rPr>
          <w:rFonts w:ascii="Times New Roman" w:hAnsi="Times New Roman"/>
          <w:bCs/>
          <w:iCs/>
          <w:color w:val="000000"/>
          <w:sz w:val="28"/>
          <w:szCs w:val="28"/>
        </w:rPr>
        <w:t xml:space="preserve"> черпаются из самого текста Салической правды, где употребляется оборот </w:t>
      </w:r>
      <w:proofErr w:type="spellStart"/>
      <w:r w:rsidRPr="009C227A">
        <w:rPr>
          <w:rFonts w:ascii="Times New Roman" w:hAnsi="Times New Roman"/>
          <w:bCs/>
          <w:iCs/>
          <w:color w:val="000000"/>
          <w:sz w:val="28"/>
          <w:szCs w:val="28"/>
        </w:rPr>
        <w:t>thunginus</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aut</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centenarius</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или </w:t>
      </w:r>
      <w:proofErr w:type="spellStart"/>
      <w:r w:rsidRPr="009C227A">
        <w:rPr>
          <w:rFonts w:ascii="Times New Roman" w:hAnsi="Times New Roman"/>
          <w:bCs/>
          <w:iCs/>
          <w:color w:val="000000"/>
          <w:sz w:val="28"/>
          <w:szCs w:val="28"/>
        </w:rPr>
        <w:t>центенарий</w:t>
      </w:r>
      <w:proofErr w:type="spellEnd"/>
      <w:r w:rsidRPr="009C227A">
        <w:rPr>
          <w:rFonts w:ascii="Times New Roman" w:hAnsi="Times New Roman"/>
          <w:bCs/>
          <w:iCs/>
          <w:color w:val="000000"/>
          <w:sz w:val="28"/>
          <w:szCs w:val="28"/>
        </w:rPr>
        <w:t xml:space="preserve">»). Дополнительную информацию дают более поздние капитулярии к этому своду, а также труды германских историков права XIX — начала XX века, прежде всего Генриха Бруннера и Рудольфа </w:t>
      </w:r>
      <w:proofErr w:type="spellStart"/>
      <w:r w:rsidRPr="009C227A">
        <w:rPr>
          <w:rFonts w:ascii="Times New Roman" w:hAnsi="Times New Roman"/>
          <w:bCs/>
          <w:iCs/>
          <w:color w:val="000000"/>
          <w:sz w:val="28"/>
          <w:szCs w:val="28"/>
        </w:rPr>
        <w:t>Зома</w:t>
      </w:r>
      <w:proofErr w:type="spellEnd"/>
      <w:r w:rsidRPr="009C227A">
        <w:rPr>
          <w:rFonts w:ascii="Times New Roman" w:hAnsi="Times New Roman"/>
          <w:bCs/>
          <w:iCs/>
          <w:color w:val="000000"/>
          <w:sz w:val="28"/>
          <w:szCs w:val="28"/>
        </w:rPr>
        <w:t xml:space="preserve">, </w:t>
      </w:r>
      <w:r w:rsidRPr="009C227A">
        <w:rPr>
          <w:rFonts w:ascii="Times New Roman" w:hAnsi="Times New Roman"/>
          <w:bCs/>
          <w:iCs/>
          <w:color w:val="000000"/>
          <w:sz w:val="28"/>
          <w:szCs w:val="28"/>
        </w:rPr>
        <w:lastRenderedPageBreak/>
        <w:t>заложивших фундамент научного изучения раннесредневекового германского судоустройства.</w:t>
      </w:r>
    </w:p>
    <w:p w14:paraId="3E122C2C"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5A3571F1"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Происхождение и этимология термина «</w:t>
      </w:r>
      <w:proofErr w:type="spellStart"/>
      <w:r w:rsidRPr="009C227A">
        <w:rPr>
          <w:rFonts w:ascii="Times New Roman" w:hAnsi="Times New Roman"/>
          <w:b/>
          <w:iCs/>
          <w:color w:val="000000"/>
          <w:sz w:val="28"/>
          <w:szCs w:val="28"/>
        </w:rPr>
        <w:t>тунгин</w:t>
      </w:r>
      <w:proofErr w:type="spellEnd"/>
      <w:r w:rsidRPr="009C227A">
        <w:rPr>
          <w:rFonts w:ascii="Times New Roman" w:hAnsi="Times New Roman"/>
          <w:b/>
          <w:iCs/>
          <w:color w:val="000000"/>
          <w:sz w:val="28"/>
          <w:szCs w:val="28"/>
        </w:rPr>
        <w:t>»</w:t>
      </w:r>
    </w:p>
    <w:p w14:paraId="4F612236"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755373DF" w14:textId="22556F00"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Обозначение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(лат. </w:t>
      </w:r>
      <w:proofErr w:type="spellStart"/>
      <w:r w:rsidRPr="009C227A">
        <w:rPr>
          <w:rFonts w:ascii="Times New Roman" w:hAnsi="Times New Roman"/>
          <w:bCs/>
          <w:iCs/>
          <w:color w:val="000000"/>
          <w:sz w:val="28"/>
          <w:szCs w:val="28"/>
        </w:rPr>
        <w:t>thunginus</w:t>
      </w:r>
      <w:proofErr w:type="spellEnd"/>
      <w:r w:rsidRPr="009C227A">
        <w:rPr>
          <w:rFonts w:ascii="Times New Roman" w:hAnsi="Times New Roman"/>
          <w:bCs/>
          <w:iCs/>
          <w:color w:val="000000"/>
          <w:sz w:val="28"/>
          <w:szCs w:val="28"/>
        </w:rPr>
        <w:t xml:space="preserve">, в некоторых рукописях </w:t>
      </w:r>
      <w:proofErr w:type="spellStart"/>
      <w:r w:rsidRPr="009C227A">
        <w:rPr>
          <w:rFonts w:ascii="Times New Roman" w:hAnsi="Times New Roman"/>
          <w:bCs/>
          <w:iCs/>
          <w:color w:val="000000"/>
          <w:sz w:val="28"/>
          <w:szCs w:val="28"/>
        </w:rPr>
        <w:t>thunginus</w:t>
      </w:r>
      <w:proofErr w:type="spellEnd"/>
      <w:r w:rsidRPr="009C227A">
        <w:rPr>
          <w:rFonts w:ascii="Times New Roman" w:hAnsi="Times New Roman"/>
          <w:bCs/>
          <w:iCs/>
          <w:color w:val="000000"/>
          <w:sz w:val="28"/>
          <w:szCs w:val="28"/>
        </w:rPr>
        <w:t xml:space="preserve">) происходит из древнегерманской правовой лексики. В энциклопедическом словаре «Гранат»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определён как лицо, «в меровингскую эпоху — председатель сотенного судебного собрания, представлявший племенное начало, в противоположность государственному». Иными словами, уже в самом наименовании и характеристике этой должности заложено принципиальное противопоставление двух источников власти в организации суда: племенного, народного и государственного, королевского.</w:t>
      </w:r>
    </w:p>
    <w:p w14:paraId="1D912242"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По всей видимости, этимологически термин связан с древнегерманским корнем, означавшим принуждение или власть в рамках судебного разбирательства. В науке утвердилось мнение, что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 это пережиток власти прежних племенных предводителей, сохранившийся в преобразованном виде на раннегосударственном этапе.</w:t>
      </w:r>
    </w:p>
    <w:p w14:paraId="63DBF559"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08603A17"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 xml:space="preserve">Правовой статус </w:t>
      </w:r>
      <w:proofErr w:type="spellStart"/>
      <w:r w:rsidRPr="009C227A">
        <w:rPr>
          <w:rFonts w:ascii="Times New Roman" w:hAnsi="Times New Roman"/>
          <w:b/>
          <w:iCs/>
          <w:color w:val="000000"/>
          <w:sz w:val="28"/>
          <w:szCs w:val="28"/>
        </w:rPr>
        <w:t>тунгина</w:t>
      </w:r>
      <w:proofErr w:type="spellEnd"/>
      <w:r w:rsidRPr="009C227A">
        <w:rPr>
          <w:rFonts w:ascii="Times New Roman" w:hAnsi="Times New Roman"/>
          <w:b/>
          <w:iCs/>
          <w:color w:val="000000"/>
          <w:sz w:val="28"/>
          <w:szCs w:val="28"/>
        </w:rPr>
        <w:t xml:space="preserve"> по </w:t>
      </w:r>
      <w:proofErr w:type="spellStart"/>
      <w:r w:rsidRPr="009C227A">
        <w:rPr>
          <w:rFonts w:ascii="Times New Roman" w:hAnsi="Times New Roman"/>
          <w:b/>
          <w:iCs/>
          <w:color w:val="000000"/>
          <w:sz w:val="28"/>
          <w:szCs w:val="28"/>
        </w:rPr>
        <w:t>Lex</w:t>
      </w:r>
      <w:proofErr w:type="spellEnd"/>
      <w:r w:rsidRPr="009C227A">
        <w:rPr>
          <w:rFonts w:ascii="Times New Roman" w:hAnsi="Times New Roman"/>
          <w:b/>
          <w:iCs/>
          <w:color w:val="000000"/>
          <w:sz w:val="28"/>
          <w:szCs w:val="28"/>
        </w:rPr>
        <w:t xml:space="preserve"> </w:t>
      </w:r>
      <w:proofErr w:type="spellStart"/>
      <w:r w:rsidRPr="009C227A">
        <w:rPr>
          <w:rFonts w:ascii="Times New Roman" w:hAnsi="Times New Roman"/>
          <w:b/>
          <w:iCs/>
          <w:color w:val="000000"/>
          <w:sz w:val="28"/>
          <w:szCs w:val="28"/>
        </w:rPr>
        <w:t>Salica</w:t>
      </w:r>
      <w:proofErr w:type="spellEnd"/>
    </w:p>
    <w:p w14:paraId="6EA14744"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21308A73" w14:textId="3C37DD69"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Выборный характер и обособленность от королевской администрации</w:t>
      </w:r>
    </w:p>
    <w:p w14:paraId="4533BF34"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Принципиально важной особенностью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является его независимость от королевской иерархии чиновников. Согласно Энциклопедическому словарю Брокгауза и Ефрона, «Т. — не королевский чиновник: правило о тройном вергельде на него не распространяется; он по-прежнему избирается на племенном собрании». Это обстоятельство кардинально отличает его от графа (</w:t>
      </w:r>
      <w:proofErr w:type="spellStart"/>
      <w:r w:rsidRPr="009C227A">
        <w:rPr>
          <w:rFonts w:ascii="Times New Roman" w:hAnsi="Times New Roman"/>
          <w:bCs/>
          <w:iCs/>
          <w:color w:val="000000"/>
          <w:sz w:val="28"/>
          <w:szCs w:val="28"/>
        </w:rPr>
        <w:t>comes</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grafio</w:t>
      </w:r>
      <w:proofErr w:type="spellEnd"/>
      <w:r w:rsidRPr="009C227A">
        <w:rPr>
          <w:rFonts w:ascii="Times New Roman" w:hAnsi="Times New Roman"/>
          <w:bCs/>
          <w:iCs/>
          <w:color w:val="000000"/>
          <w:sz w:val="28"/>
          <w:szCs w:val="28"/>
        </w:rPr>
        <w:t xml:space="preserve">), который выступал прямым представителем монарха на местах.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оставался сопряжённым с традиционными институтами племенного самоуправления.</w:t>
      </w:r>
    </w:p>
    <w:p w14:paraId="6D3B1597"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0EB82AAF"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lastRenderedPageBreak/>
        <w:t>Вместе с тем его избрание уже не было полностью свободным от влияния центральной власти. Тот же источник указывает, что «избрание Т. совершается если не на таком собрании, где король председательствует лично, то во всяком случае с его согласия; но, по юридическим представлениям того времени, это не мешало считать Т. не королевским, а народным должностным лицом».</w:t>
      </w:r>
    </w:p>
    <w:p w14:paraId="4A4A338C"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p>
    <w:p w14:paraId="1BA84FA3"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proofErr w:type="spellStart"/>
      <w:r w:rsidRPr="009C227A">
        <w:rPr>
          <w:rFonts w:ascii="Times New Roman" w:hAnsi="Times New Roman"/>
          <w:b/>
          <w:iCs/>
          <w:color w:val="000000"/>
          <w:sz w:val="28"/>
          <w:szCs w:val="28"/>
        </w:rPr>
        <w:t>Тунгин</w:t>
      </w:r>
      <w:proofErr w:type="spellEnd"/>
      <w:r w:rsidRPr="009C227A">
        <w:rPr>
          <w:rFonts w:ascii="Times New Roman" w:hAnsi="Times New Roman"/>
          <w:b/>
          <w:iCs/>
          <w:color w:val="000000"/>
          <w:sz w:val="28"/>
          <w:szCs w:val="28"/>
        </w:rPr>
        <w:t xml:space="preserve"> и </w:t>
      </w:r>
      <w:proofErr w:type="spellStart"/>
      <w:r w:rsidRPr="009C227A">
        <w:rPr>
          <w:rFonts w:ascii="Times New Roman" w:hAnsi="Times New Roman"/>
          <w:b/>
          <w:iCs/>
          <w:color w:val="000000"/>
          <w:sz w:val="28"/>
          <w:szCs w:val="28"/>
        </w:rPr>
        <w:t>центенар</w:t>
      </w:r>
      <w:proofErr w:type="spellEnd"/>
      <w:r w:rsidRPr="009C227A">
        <w:rPr>
          <w:rFonts w:ascii="Times New Roman" w:hAnsi="Times New Roman"/>
          <w:b/>
          <w:iCs/>
          <w:color w:val="000000"/>
          <w:sz w:val="28"/>
          <w:szCs w:val="28"/>
        </w:rPr>
        <w:t>: проблема разграничения</w:t>
      </w:r>
    </w:p>
    <w:p w14:paraId="2303E886"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4DA56D73" w14:textId="42902499"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Оборот «</w:t>
      </w:r>
      <w:proofErr w:type="spellStart"/>
      <w:r w:rsidRPr="009C227A">
        <w:rPr>
          <w:rFonts w:ascii="Times New Roman" w:hAnsi="Times New Roman"/>
          <w:bCs/>
          <w:iCs/>
          <w:color w:val="000000"/>
          <w:sz w:val="28"/>
          <w:szCs w:val="28"/>
        </w:rPr>
        <w:t>thunginus</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aut</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centenarius</w:t>
      </w:r>
      <w:proofErr w:type="spellEnd"/>
      <w:r w:rsidRPr="009C227A">
        <w:rPr>
          <w:rFonts w:ascii="Times New Roman" w:hAnsi="Times New Roman"/>
          <w:bCs/>
          <w:iCs/>
          <w:color w:val="000000"/>
          <w:sz w:val="28"/>
          <w:szCs w:val="28"/>
        </w:rPr>
        <w:t xml:space="preserve">» породил в литературе продолжительную дискуссию о соотношении этих двух фигур. Некоторые учёные отождествляли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и </w:t>
      </w:r>
      <w:proofErr w:type="spellStart"/>
      <w:r w:rsidRPr="009C227A">
        <w:rPr>
          <w:rFonts w:ascii="Times New Roman" w:hAnsi="Times New Roman"/>
          <w:bCs/>
          <w:iCs/>
          <w:color w:val="000000"/>
          <w:sz w:val="28"/>
          <w:szCs w:val="28"/>
        </w:rPr>
        <w:t>центенара</w:t>
      </w:r>
      <w:proofErr w:type="spellEnd"/>
      <w:r w:rsidRPr="009C227A">
        <w:rPr>
          <w:rFonts w:ascii="Times New Roman" w:hAnsi="Times New Roman"/>
          <w:bCs/>
          <w:iCs/>
          <w:color w:val="000000"/>
          <w:sz w:val="28"/>
          <w:szCs w:val="28"/>
        </w:rPr>
        <w:t xml:space="preserve">, считая их двумя названиями одного лица. Однако Г. Бруннер в «Deutsche </w:t>
      </w:r>
      <w:proofErr w:type="spellStart"/>
      <w:r w:rsidRPr="009C227A">
        <w:rPr>
          <w:rFonts w:ascii="Times New Roman" w:hAnsi="Times New Roman"/>
          <w:bCs/>
          <w:iCs/>
          <w:color w:val="000000"/>
          <w:sz w:val="28"/>
          <w:szCs w:val="28"/>
        </w:rPr>
        <w:t>Rechtsgeschichte</w:t>
      </w:r>
      <w:proofErr w:type="spellEnd"/>
      <w:r w:rsidRPr="009C227A">
        <w:rPr>
          <w:rFonts w:ascii="Times New Roman" w:hAnsi="Times New Roman"/>
          <w:bCs/>
          <w:iCs/>
          <w:color w:val="000000"/>
          <w:sz w:val="28"/>
          <w:szCs w:val="28"/>
        </w:rPr>
        <w:t>» убедительно доказал, что это разные институты, сосуществовавшие в определённый период и олицетворявшие соответственно племенное и государственное начала в судоустройстве.</w:t>
      </w:r>
    </w:p>
    <w:p w14:paraId="5E64BE6D"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roofErr w:type="spellStart"/>
      <w:r w:rsidRPr="009C227A">
        <w:rPr>
          <w:rFonts w:ascii="Times New Roman" w:hAnsi="Times New Roman"/>
          <w:bCs/>
          <w:iCs/>
          <w:color w:val="000000"/>
          <w:sz w:val="28"/>
          <w:szCs w:val="28"/>
        </w:rPr>
        <w:t>Центенар</w:t>
      </w:r>
      <w:proofErr w:type="spellEnd"/>
      <w:r w:rsidRPr="009C227A">
        <w:rPr>
          <w:rFonts w:ascii="Times New Roman" w:hAnsi="Times New Roman"/>
          <w:bCs/>
          <w:iCs/>
          <w:color w:val="000000"/>
          <w:sz w:val="28"/>
          <w:szCs w:val="28"/>
        </w:rPr>
        <w:t xml:space="preserve"> (от лат. </w:t>
      </w:r>
      <w:proofErr w:type="spellStart"/>
      <w:r w:rsidRPr="009C227A">
        <w:rPr>
          <w:rFonts w:ascii="Times New Roman" w:hAnsi="Times New Roman"/>
          <w:bCs/>
          <w:iCs/>
          <w:color w:val="000000"/>
          <w:sz w:val="28"/>
          <w:szCs w:val="28"/>
        </w:rPr>
        <w:t>centum</w:t>
      </w:r>
      <w:proofErr w:type="spellEnd"/>
      <w:r w:rsidRPr="009C227A">
        <w:rPr>
          <w:rFonts w:ascii="Times New Roman" w:hAnsi="Times New Roman"/>
          <w:bCs/>
          <w:iCs/>
          <w:color w:val="000000"/>
          <w:sz w:val="28"/>
          <w:szCs w:val="28"/>
        </w:rPr>
        <w:t xml:space="preserve"> — сто) — сотник, предводитель сотни — существовал ещё в догосударственную эпоху. В отличие от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он был инкорпорирован в систему королевской администрации и со временем полностью вытеснил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из судебной сферы. Энциклопедия «Гранат» подчёркивает: «В каролингскую эпоху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уже нет, а </w:t>
      </w:r>
      <w:proofErr w:type="spellStart"/>
      <w:r w:rsidRPr="009C227A">
        <w:rPr>
          <w:rFonts w:ascii="Times New Roman" w:hAnsi="Times New Roman"/>
          <w:bCs/>
          <w:iCs/>
          <w:color w:val="000000"/>
          <w:sz w:val="28"/>
          <w:szCs w:val="28"/>
        </w:rPr>
        <w:t>центенар</w:t>
      </w:r>
      <w:proofErr w:type="spellEnd"/>
      <w:r w:rsidRPr="009C227A">
        <w:rPr>
          <w:rFonts w:ascii="Times New Roman" w:hAnsi="Times New Roman"/>
          <w:bCs/>
          <w:iCs/>
          <w:color w:val="000000"/>
          <w:sz w:val="28"/>
          <w:szCs w:val="28"/>
        </w:rPr>
        <w:t xml:space="preserve"> играет все более важную роль в судебной организации».</w:t>
      </w:r>
    </w:p>
    <w:p w14:paraId="59EA39C8"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09B793DD"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 xml:space="preserve">Размежевание компетенции </w:t>
      </w:r>
      <w:proofErr w:type="spellStart"/>
      <w:r w:rsidRPr="009C227A">
        <w:rPr>
          <w:rFonts w:ascii="Times New Roman" w:hAnsi="Times New Roman"/>
          <w:b/>
          <w:iCs/>
          <w:color w:val="000000"/>
          <w:sz w:val="28"/>
          <w:szCs w:val="28"/>
        </w:rPr>
        <w:t>тунгина</w:t>
      </w:r>
      <w:proofErr w:type="spellEnd"/>
      <w:r w:rsidRPr="009C227A">
        <w:rPr>
          <w:rFonts w:ascii="Times New Roman" w:hAnsi="Times New Roman"/>
          <w:b/>
          <w:iCs/>
          <w:color w:val="000000"/>
          <w:sz w:val="28"/>
          <w:szCs w:val="28"/>
        </w:rPr>
        <w:t xml:space="preserve"> и графа</w:t>
      </w:r>
    </w:p>
    <w:p w14:paraId="62B02F78"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1C19F28D"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Источники строго разграничивают полномочия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и графа.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руководил судебным собранием, но в дальнейших стадиях процесса и в исполнении приговора не участвовал; как отмечается в литературе, «это — дело королевского чиновника, графа». Судебная власть в сотне оказывалась, таким образом, расщеплённой между народным председателем собрания и королевским органом принудительного исполнения.</w:t>
      </w:r>
    </w:p>
    <w:p w14:paraId="2A7ACA8A"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43B8D644"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lastRenderedPageBreak/>
        <w:t xml:space="preserve">Функции </w:t>
      </w:r>
      <w:proofErr w:type="spellStart"/>
      <w:r w:rsidRPr="009C227A">
        <w:rPr>
          <w:rFonts w:ascii="Times New Roman" w:hAnsi="Times New Roman"/>
          <w:b/>
          <w:iCs/>
          <w:color w:val="000000"/>
          <w:sz w:val="28"/>
          <w:szCs w:val="28"/>
        </w:rPr>
        <w:t>тунгина</w:t>
      </w:r>
      <w:proofErr w:type="spellEnd"/>
      <w:r w:rsidRPr="009C227A">
        <w:rPr>
          <w:rFonts w:ascii="Times New Roman" w:hAnsi="Times New Roman"/>
          <w:b/>
          <w:iCs/>
          <w:color w:val="000000"/>
          <w:sz w:val="28"/>
          <w:szCs w:val="28"/>
        </w:rPr>
        <w:t xml:space="preserve"> в организации судопроизводства</w:t>
      </w:r>
    </w:p>
    <w:p w14:paraId="2500C925"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p>
    <w:p w14:paraId="2A314D23"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Руководство сотенным судебным собранием</w:t>
      </w:r>
    </w:p>
    <w:p w14:paraId="4068F023"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14D13FF1"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Главной обязанностью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являлось председательство на судебном собрании сотни — </w:t>
      </w:r>
      <w:proofErr w:type="spellStart"/>
      <w:r w:rsidRPr="009C227A">
        <w:rPr>
          <w:rFonts w:ascii="Times New Roman" w:hAnsi="Times New Roman"/>
          <w:bCs/>
          <w:iCs/>
          <w:color w:val="000000"/>
          <w:sz w:val="28"/>
          <w:szCs w:val="28"/>
        </w:rPr>
        <w:t>маллюсе</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mallus</w:t>
      </w:r>
      <w:proofErr w:type="spellEnd"/>
      <w:r w:rsidRPr="009C227A">
        <w:rPr>
          <w:rFonts w:ascii="Times New Roman" w:hAnsi="Times New Roman"/>
          <w:bCs/>
          <w:iCs/>
          <w:color w:val="000000"/>
          <w:sz w:val="28"/>
          <w:szCs w:val="28"/>
        </w:rPr>
        <w:t xml:space="preserve">). Такое собрание представляло собой регулярный сход свободных общинников соответствующего территориального округа, где разбирались тяжбы и правонарушения.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направлял ход заседания, следил за соблюдением процессуальных норм и, вероятно, играл определённую роль в формулировании вердикта, хотя формально решение выносилось собранием свободных людей — сначала </w:t>
      </w:r>
      <w:proofErr w:type="spellStart"/>
      <w:r w:rsidRPr="009C227A">
        <w:rPr>
          <w:rFonts w:ascii="Times New Roman" w:hAnsi="Times New Roman"/>
          <w:bCs/>
          <w:iCs/>
          <w:color w:val="000000"/>
          <w:sz w:val="28"/>
          <w:szCs w:val="28"/>
        </w:rPr>
        <w:t>рахинбургов</w:t>
      </w:r>
      <w:proofErr w:type="spellEnd"/>
      <w:r w:rsidRPr="009C227A">
        <w:rPr>
          <w:rFonts w:ascii="Times New Roman" w:hAnsi="Times New Roman"/>
          <w:bCs/>
          <w:iCs/>
          <w:color w:val="000000"/>
          <w:sz w:val="28"/>
          <w:szCs w:val="28"/>
        </w:rPr>
        <w:t xml:space="preserve">, а впоследствии </w:t>
      </w:r>
      <w:proofErr w:type="spellStart"/>
      <w:r w:rsidRPr="009C227A">
        <w:rPr>
          <w:rFonts w:ascii="Times New Roman" w:hAnsi="Times New Roman"/>
          <w:bCs/>
          <w:iCs/>
          <w:color w:val="000000"/>
          <w:sz w:val="28"/>
          <w:szCs w:val="28"/>
        </w:rPr>
        <w:t>скабинов</w:t>
      </w:r>
      <w:proofErr w:type="spellEnd"/>
      <w:r w:rsidRPr="009C227A">
        <w:rPr>
          <w:rFonts w:ascii="Times New Roman" w:hAnsi="Times New Roman"/>
          <w:bCs/>
          <w:iCs/>
          <w:color w:val="000000"/>
          <w:sz w:val="28"/>
          <w:szCs w:val="28"/>
        </w:rPr>
        <w:t>.</w:t>
      </w:r>
    </w:p>
    <w:p w14:paraId="3A8EB022"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0F07C8F1"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Очередные и внеочередные собрания</w:t>
      </w:r>
    </w:p>
    <w:p w14:paraId="38B48F0E"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01E0ED32"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председательствовал как на ординарных, так и на чрезвычайных судебных сходах. Германское право различало </w:t>
      </w:r>
      <w:proofErr w:type="spellStart"/>
      <w:r w:rsidRPr="009C227A">
        <w:rPr>
          <w:rFonts w:ascii="Times New Roman" w:hAnsi="Times New Roman"/>
          <w:bCs/>
          <w:iCs/>
          <w:color w:val="000000"/>
          <w:sz w:val="28"/>
          <w:szCs w:val="28"/>
        </w:rPr>
        <w:t>echte</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Ding</w:t>
      </w:r>
      <w:proofErr w:type="spellEnd"/>
      <w:r w:rsidRPr="009C227A">
        <w:rPr>
          <w:rFonts w:ascii="Times New Roman" w:hAnsi="Times New Roman"/>
          <w:bCs/>
          <w:iCs/>
          <w:color w:val="000000"/>
          <w:sz w:val="28"/>
          <w:szCs w:val="28"/>
        </w:rPr>
        <w:t xml:space="preserve"> — регулярное, обязательное собрание, проходившее в установленные сроки, и </w:t>
      </w:r>
      <w:proofErr w:type="spellStart"/>
      <w:r w:rsidRPr="009C227A">
        <w:rPr>
          <w:rFonts w:ascii="Times New Roman" w:hAnsi="Times New Roman"/>
          <w:bCs/>
          <w:iCs/>
          <w:color w:val="000000"/>
          <w:sz w:val="28"/>
          <w:szCs w:val="28"/>
        </w:rPr>
        <w:t>gebotene</w:t>
      </w:r>
      <w:proofErr w:type="spellEnd"/>
      <w:r w:rsidRPr="009C227A">
        <w:rPr>
          <w:rFonts w:ascii="Times New Roman" w:hAnsi="Times New Roman"/>
          <w:bCs/>
          <w:iCs/>
          <w:color w:val="000000"/>
          <w:sz w:val="28"/>
          <w:szCs w:val="28"/>
        </w:rPr>
        <w:t xml:space="preserve"> </w:t>
      </w:r>
      <w:proofErr w:type="spellStart"/>
      <w:r w:rsidRPr="009C227A">
        <w:rPr>
          <w:rFonts w:ascii="Times New Roman" w:hAnsi="Times New Roman"/>
          <w:bCs/>
          <w:iCs/>
          <w:color w:val="000000"/>
          <w:sz w:val="28"/>
          <w:szCs w:val="28"/>
        </w:rPr>
        <w:t>Ding</w:t>
      </w:r>
      <w:proofErr w:type="spellEnd"/>
      <w:r w:rsidRPr="009C227A">
        <w:rPr>
          <w:rFonts w:ascii="Times New Roman" w:hAnsi="Times New Roman"/>
          <w:bCs/>
          <w:iCs/>
          <w:color w:val="000000"/>
          <w:sz w:val="28"/>
          <w:szCs w:val="28"/>
        </w:rPr>
        <w:t xml:space="preserve"> — специально созванное экстренное заседание. Созыв и проведение таких собраний составляли важнейший элемент полномочий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как устроителя судебного процесса.</w:t>
      </w:r>
    </w:p>
    <w:p w14:paraId="2CF85A3A"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4EAA2C5A"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Участие в процессуальных действиях</w:t>
      </w:r>
    </w:p>
    <w:p w14:paraId="71745BE6"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17F67347" w14:textId="4F49FCB5"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Хотя в русском переводе Н. П. Грацианского термин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мог быть передан как «</w:t>
      </w:r>
      <w:proofErr w:type="spellStart"/>
      <w:r w:rsidRPr="009C227A">
        <w:rPr>
          <w:rFonts w:ascii="Times New Roman" w:hAnsi="Times New Roman"/>
          <w:bCs/>
          <w:iCs/>
          <w:color w:val="000000"/>
          <w:sz w:val="28"/>
          <w:szCs w:val="28"/>
        </w:rPr>
        <w:t>центенарий</w:t>
      </w:r>
      <w:proofErr w:type="spellEnd"/>
      <w:r w:rsidRPr="009C227A">
        <w:rPr>
          <w:rFonts w:ascii="Times New Roman" w:hAnsi="Times New Roman"/>
          <w:bCs/>
          <w:iCs/>
          <w:color w:val="000000"/>
          <w:sz w:val="28"/>
          <w:szCs w:val="28"/>
        </w:rPr>
        <w:t xml:space="preserve">» или иным способом, анализ латинского текста и исследовательской литературы позволяет утверждать, что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играл ключевую роль в таких процессуальных актах, как вызов в суд, обеспечение явки сторон, управление ходом разбирательства и объявление приговора. При этом необходимо подчеркнуть, что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не являлся судьёй в современном понимании: он не выносил приговор единолично; эта функция принадлежала</w:t>
      </w:r>
      <w:r w:rsidR="009C227A">
        <w:rPr>
          <w:rFonts w:ascii="Times New Roman" w:hAnsi="Times New Roman"/>
          <w:bCs/>
          <w:iCs/>
          <w:color w:val="000000"/>
          <w:sz w:val="28"/>
          <w:szCs w:val="28"/>
        </w:rPr>
        <w:t xml:space="preserve"> </w:t>
      </w:r>
      <w:r w:rsidRPr="009C227A">
        <w:rPr>
          <w:rFonts w:ascii="Times New Roman" w:hAnsi="Times New Roman"/>
          <w:bCs/>
          <w:iCs/>
          <w:color w:val="000000"/>
          <w:sz w:val="28"/>
          <w:szCs w:val="28"/>
        </w:rPr>
        <w:lastRenderedPageBreak/>
        <w:t>судебному собранию в целом.</w:t>
      </w:r>
    </w:p>
    <w:p w14:paraId="64B133D9"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1AE94488" w14:textId="7D1EE97D"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Историческая эволюция и исчезновение института</w:t>
      </w:r>
    </w:p>
    <w:p w14:paraId="274D7A12" w14:textId="64709D7E"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Должность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просуществовала относительно недолго. Энциклопедический словарь Брокгауза и Ефрона констатирует: «должность Т. исчезает уже в первых капитуляриях к Салической Правде, т. е., вероятно, уже в последние годы царствования Хлодвига и во всяком случае при его сыновьях». Таким образом, период активного функционирования этого института ограничивается приблизительно первой половиной VI века.</w:t>
      </w:r>
    </w:p>
    <w:p w14:paraId="50A1613E" w14:textId="4F56E0A3"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Причины его быстрого исчезновения кроются в общей логике эволюции франкской государственности. По мере укрепления власти короля и складывания централизованного административного аппарата племенные институты, сохранявшие элементы народного самоуправления и автономии от короны, последовательно вытеснялись. Обязанности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как председателя судебного собрания переходят к графу, а исполнительное производство передаётся назначаемым графом старостам.</w:t>
      </w:r>
    </w:p>
    <w:p w14:paraId="5A1C5B5E"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roofErr w:type="spellStart"/>
      <w:r w:rsidRPr="009C227A">
        <w:rPr>
          <w:rFonts w:ascii="Times New Roman" w:hAnsi="Times New Roman"/>
          <w:bCs/>
          <w:iCs/>
          <w:color w:val="000000"/>
          <w:sz w:val="28"/>
          <w:szCs w:val="28"/>
        </w:rPr>
        <w:t>Центенар</w:t>
      </w:r>
      <w:proofErr w:type="spellEnd"/>
      <w:r w:rsidRPr="009C227A">
        <w:rPr>
          <w:rFonts w:ascii="Times New Roman" w:hAnsi="Times New Roman"/>
          <w:bCs/>
          <w:iCs/>
          <w:color w:val="000000"/>
          <w:sz w:val="28"/>
          <w:szCs w:val="28"/>
        </w:rPr>
        <w:t xml:space="preserve">, напротив, не только уцелел, но и упрочил своё положение. В Каролингскую эпоху (VIII–IX века) он превратился в один из опорных элементов судебной организации, выполняя функции, прежде распределённые между </w:t>
      </w:r>
      <w:proofErr w:type="spellStart"/>
      <w:r w:rsidRPr="009C227A">
        <w:rPr>
          <w:rFonts w:ascii="Times New Roman" w:hAnsi="Times New Roman"/>
          <w:bCs/>
          <w:iCs/>
          <w:color w:val="000000"/>
          <w:sz w:val="28"/>
          <w:szCs w:val="28"/>
        </w:rPr>
        <w:t>тунгином</w:t>
      </w:r>
      <w:proofErr w:type="spellEnd"/>
      <w:r w:rsidRPr="009C227A">
        <w:rPr>
          <w:rFonts w:ascii="Times New Roman" w:hAnsi="Times New Roman"/>
          <w:bCs/>
          <w:iCs/>
          <w:color w:val="000000"/>
          <w:sz w:val="28"/>
          <w:szCs w:val="28"/>
        </w:rPr>
        <w:t xml:space="preserve"> и другими лицами племенного происхождения.</w:t>
      </w:r>
    </w:p>
    <w:p w14:paraId="0CEA08CE"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p>
    <w:p w14:paraId="096090A5"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r w:rsidRPr="009C227A">
        <w:rPr>
          <w:rFonts w:ascii="Times New Roman" w:hAnsi="Times New Roman"/>
          <w:b/>
          <w:iCs/>
          <w:color w:val="000000"/>
          <w:sz w:val="28"/>
          <w:szCs w:val="28"/>
        </w:rPr>
        <w:t xml:space="preserve">Значение института </w:t>
      </w:r>
      <w:proofErr w:type="spellStart"/>
      <w:r w:rsidRPr="009C227A">
        <w:rPr>
          <w:rFonts w:ascii="Times New Roman" w:hAnsi="Times New Roman"/>
          <w:b/>
          <w:iCs/>
          <w:color w:val="000000"/>
          <w:sz w:val="28"/>
          <w:szCs w:val="28"/>
        </w:rPr>
        <w:t>тунгина</w:t>
      </w:r>
      <w:proofErr w:type="spellEnd"/>
      <w:r w:rsidRPr="009C227A">
        <w:rPr>
          <w:rFonts w:ascii="Times New Roman" w:hAnsi="Times New Roman"/>
          <w:b/>
          <w:iCs/>
          <w:color w:val="000000"/>
          <w:sz w:val="28"/>
          <w:szCs w:val="28"/>
        </w:rPr>
        <w:t xml:space="preserve"> для истории государства и права</w:t>
      </w:r>
    </w:p>
    <w:p w14:paraId="5899BA32" w14:textId="77777777"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
          <w:iCs/>
          <w:color w:val="000000"/>
          <w:sz w:val="28"/>
          <w:szCs w:val="28"/>
        </w:rPr>
      </w:pPr>
    </w:p>
    <w:p w14:paraId="4B637B96" w14:textId="17EF2363"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Институт </w:t>
      </w:r>
      <w:proofErr w:type="spellStart"/>
      <w:r w:rsidRPr="009C227A">
        <w:rPr>
          <w:rFonts w:ascii="Times New Roman" w:hAnsi="Times New Roman"/>
          <w:bCs/>
          <w:iCs/>
          <w:color w:val="000000"/>
          <w:sz w:val="28"/>
          <w:szCs w:val="28"/>
        </w:rPr>
        <w:t>тунгина</w:t>
      </w:r>
      <w:proofErr w:type="spellEnd"/>
      <w:r w:rsidRPr="009C227A">
        <w:rPr>
          <w:rFonts w:ascii="Times New Roman" w:hAnsi="Times New Roman"/>
          <w:bCs/>
          <w:iCs/>
          <w:color w:val="000000"/>
          <w:sz w:val="28"/>
          <w:szCs w:val="28"/>
        </w:rPr>
        <w:t xml:space="preserve"> занимает важное место в осмыслении процессов </w:t>
      </w:r>
      <w:proofErr w:type="spellStart"/>
      <w:r w:rsidRPr="009C227A">
        <w:rPr>
          <w:rFonts w:ascii="Times New Roman" w:hAnsi="Times New Roman"/>
          <w:bCs/>
          <w:iCs/>
          <w:color w:val="000000"/>
          <w:sz w:val="28"/>
          <w:szCs w:val="28"/>
        </w:rPr>
        <w:t>политогенеза</w:t>
      </w:r>
      <w:proofErr w:type="spellEnd"/>
      <w:r w:rsidRPr="009C227A">
        <w:rPr>
          <w:rFonts w:ascii="Times New Roman" w:hAnsi="Times New Roman"/>
          <w:bCs/>
          <w:iCs/>
          <w:color w:val="000000"/>
          <w:sz w:val="28"/>
          <w:szCs w:val="28"/>
        </w:rPr>
        <w:t xml:space="preserve"> у франков. Как точно замечено в историографии, «должность Т. характеризует переход от племенной организации франков к государственной». </w:t>
      </w:r>
      <w:proofErr w:type="spellStart"/>
      <w:r w:rsidRPr="009C227A">
        <w:rPr>
          <w:rFonts w:ascii="Times New Roman" w:hAnsi="Times New Roman"/>
          <w:bCs/>
          <w:iCs/>
          <w:color w:val="000000"/>
          <w:sz w:val="28"/>
          <w:szCs w:val="28"/>
        </w:rPr>
        <w:t>Тунгин</w:t>
      </w:r>
      <w:proofErr w:type="spellEnd"/>
      <w:r w:rsidRPr="009C227A">
        <w:rPr>
          <w:rFonts w:ascii="Times New Roman" w:hAnsi="Times New Roman"/>
          <w:bCs/>
          <w:iCs/>
          <w:color w:val="000000"/>
          <w:sz w:val="28"/>
          <w:szCs w:val="28"/>
        </w:rPr>
        <w:t xml:space="preserve"> представляет собой яркий образец переходного института, в котором сочетаются черты племенного самоуправления и элементы государственного судебного устройства.</w:t>
      </w:r>
    </w:p>
    <w:p w14:paraId="1201F56C" w14:textId="42890DF9" w:rsidR="00337A61" w:rsidRPr="009C227A" w:rsidRDefault="00337A61" w:rsidP="009C227A">
      <w:pPr>
        <w:widowControl w:val="0"/>
        <w:autoSpaceDE w:val="0"/>
        <w:autoSpaceDN w:val="0"/>
        <w:adjustRightInd w:val="0"/>
        <w:spacing w:before="240" w:after="0" w:line="240" w:lineRule="auto"/>
        <w:ind w:firstLine="680"/>
        <w:jc w:val="both"/>
        <w:rPr>
          <w:rFonts w:ascii="Times New Roman" w:hAnsi="Times New Roman"/>
          <w:bCs/>
          <w:iCs/>
          <w:color w:val="000000"/>
          <w:sz w:val="28"/>
          <w:szCs w:val="28"/>
        </w:rPr>
      </w:pPr>
      <w:r w:rsidRPr="009C227A">
        <w:rPr>
          <w:rFonts w:ascii="Times New Roman" w:hAnsi="Times New Roman"/>
          <w:bCs/>
          <w:iCs/>
          <w:color w:val="000000"/>
          <w:sz w:val="28"/>
          <w:szCs w:val="28"/>
        </w:rPr>
        <w:t xml:space="preserve">Сохранение за </w:t>
      </w:r>
      <w:proofErr w:type="spellStart"/>
      <w:r w:rsidRPr="009C227A">
        <w:rPr>
          <w:rFonts w:ascii="Times New Roman" w:hAnsi="Times New Roman"/>
          <w:bCs/>
          <w:iCs/>
          <w:color w:val="000000"/>
          <w:sz w:val="28"/>
          <w:szCs w:val="28"/>
        </w:rPr>
        <w:t>тунгином</w:t>
      </w:r>
      <w:proofErr w:type="spellEnd"/>
      <w:r w:rsidRPr="009C227A">
        <w:rPr>
          <w:rFonts w:ascii="Times New Roman" w:hAnsi="Times New Roman"/>
          <w:bCs/>
          <w:iCs/>
          <w:color w:val="000000"/>
          <w:sz w:val="28"/>
          <w:szCs w:val="28"/>
        </w:rPr>
        <w:t xml:space="preserve"> права председательства на судебном собрании в условиях, когда «королевская власть уже успела захватить и передать своим чиновникам большинство прав прежних племенных начальников», говорит о </w:t>
      </w:r>
      <w:r w:rsidRPr="009C227A">
        <w:rPr>
          <w:rFonts w:ascii="Times New Roman" w:hAnsi="Times New Roman"/>
          <w:bCs/>
          <w:iCs/>
          <w:color w:val="000000"/>
          <w:sz w:val="28"/>
          <w:szCs w:val="28"/>
        </w:rPr>
        <w:lastRenderedPageBreak/>
        <w:t>том, что именно судебная сфера оставалась наиболее консервативной областью общественной жизни, где дольше всего удерживались племенные традиции.</w:t>
      </w:r>
    </w:p>
    <w:p w14:paraId="001674D4" w14:textId="77777777" w:rsidR="009C227A" w:rsidRDefault="009C227A" w:rsidP="009C227A">
      <w:pPr>
        <w:spacing w:line="240" w:lineRule="auto"/>
        <w:jc w:val="both"/>
        <w:rPr>
          <w:rFonts w:ascii="Times New Roman" w:hAnsi="Times New Roman"/>
          <w:bCs/>
          <w:iCs/>
          <w:color w:val="000000"/>
          <w:sz w:val="28"/>
          <w:szCs w:val="28"/>
        </w:rPr>
      </w:pPr>
    </w:p>
    <w:p w14:paraId="69A1702C" w14:textId="4C2D4755" w:rsidR="0042213F" w:rsidRPr="00147344" w:rsidRDefault="0042213F" w:rsidP="009C227A">
      <w:pPr>
        <w:spacing w:line="240" w:lineRule="auto"/>
        <w:ind w:firstLine="709"/>
        <w:jc w:val="both"/>
        <w:rPr>
          <w:rFonts w:ascii="Times New Roman" w:hAnsi="Times New Roman"/>
          <w:b/>
          <w:bCs/>
          <w:sz w:val="28"/>
          <w:szCs w:val="28"/>
        </w:rPr>
      </w:pPr>
      <w:r w:rsidRPr="00147344">
        <w:rPr>
          <w:rFonts w:ascii="Times New Roman" w:hAnsi="Times New Roman"/>
          <w:b/>
          <w:bCs/>
          <w:sz w:val="28"/>
          <w:szCs w:val="28"/>
        </w:rPr>
        <w:t xml:space="preserve">Список литературы: </w:t>
      </w:r>
    </w:p>
    <w:p w14:paraId="7A06B13B" w14:textId="171BBF87" w:rsidR="009C227A" w:rsidRPr="009C227A" w:rsidRDefault="009C227A" w:rsidP="00F2530C">
      <w:pPr>
        <w:pStyle w:val="a7"/>
        <w:numPr>
          <w:ilvl w:val="0"/>
          <w:numId w:val="10"/>
        </w:numPr>
        <w:ind w:left="0" w:firstLine="709"/>
        <w:rPr>
          <w:rFonts w:ascii="Times New Roman" w:hAnsi="Times New Roman"/>
          <w:sz w:val="28"/>
          <w:szCs w:val="28"/>
        </w:rPr>
      </w:pPr>
      <w:r w:rsidRPr="009C227A">
        <w:rPr>
          <w:rFonts w:ascii="Times New Roman" w:hAnsi="Times New Roman"/>
          <w:sz w:val="28"/>
          <w:szCs w:val="28"/>
        </w:rPr>
        <w:t>Салическая правда / Перевод Н. П. Грацианского. — М.: Московский государственный педагогический институт им. Ленина, 1950. (Учёные записки, т. LXII).</w:t>
      </w:r>
    </w:p>
    <w:p w14:paraId="6DCA0ED4" w14:textId="3B959411" w:rsidR="009C227A" w:rsidRPr="009C227A" w:rsidRDefault="009C227A" w:rsidP="00F2530C">
      <w:pPr>
        <w:pStyle w:val="a7"/>
        <w:numPr>
          <w:ilvl w:val="0"/>
          <w:numId w:val="10"/>
        </w:numPr>
        <w:ind w:left="0" w:firstLine="709"/>
        <w:rPr>
          <w:rFonts w:ascii="Times New Roman" w:hAnsi="Times New Roman"/>
          <w:sz w:val="28"/>
          <w:szCs w:val="28"/>
        </w:rPr>
      </w:pPr>
      <w:proofErr w:type="spellStart"/>
      <w:r w:rsidRPr="009C227A">
        <w:rPr>
          <w:rFonts w:ascii="Times New Roman" w:hAnsi="Times New Roman"/>
          <w:sz w:val="28"/>
          <w:szCs w:val="28"/>
        </w:rPr>
        <w:t>Тунгин</w:t>
      </w:r>
      <w:proofErr w:type="spellEnd"/>
      <w:r w:rsidRPr="009C227A">
        <w:rPr>
          <w:rFonts w:ascii="Times New Roman" w:hAnsi="Times New Roman"/>
          <w:sz w:val="28"/>
          <w:szCs w:val="28"/>
        </w:rPr>
        <w:t xml:space="preserve"> // Энциклопедический словарь Брокгауза и Ефрона: в 86 т. — СПб., 1890–1907. — Т. XXXIV (1901): </w:t>
      </w:r>
      <w:proofErr w:type="spellStart"/>
      <w:r w:rsidRPr="009C227A">
        <w:rPr>
          <w:rFonts w:ascii="Times New Roman" w:hAnsi="Times New Roman"/>
          <w:sz w:val="28"/>
          <w:szCs w:val="28"/>
        </w:rPr>
        <w:t>Трумп</w:t>
      </w:r>
      <w:proofErr w:type="spellEnd"/>
      <w:r w:rsidRPr="009C227A">
        <w:rPr>
          <w:rFonts w:ascii="Times New Roman" w:hAnsi="Times New Roman"/>
          <w:sz w:val="28"/>
          <w:szCs w:val="28"/>
        </w:rPr>
        <w:t xml:space="preserve"> — Углеродистый кальций. — С. 63.</w:t>
      </w:r>
    </w:p>
    <w:p w14:paraId="7BA7D884" w14:textId="4D30211D" w:rsidR="009C227A" w:rsidRPr="009C227A" w:rsidRDefault="009C227A" w:rsidP="00F2530C">
      <w:pPr>
        <w:pStyle w:val="a7"/>
        <w:numPr>
          <w:ilvl w:val="0"/>
          <w:numId w:val="10"/>
        </w:numPr>
        <w:ind w:left="0" w:firstLine="709"/>
        <w:rPr>
          <w:rFonts w:ascii="Times New Roman" w:hAnsi="Times New Roman"/>
          <w:sz w:val="28"/>
          <w:szCs w:val="28"/>
        </w:rPr>
      </w:pPr>
      <w:proofErr w:type="spellStart"/>
      <w:r w:rsidRPr="009C227A">
        <w:rPr>
          <w:rFonts w:ascii="Times New Roman" w:hAnsi="Times New Roman"/>
          <w:sz w:val="28"/>
          <w:szCs w:val="28"/>
        </w:rPr>
        <w:t>Тунгин</w:t>
      </w:r>
      <w:proofErr w:type="spellEnd"/>
      <w:r w:rsidRPr="009C227A">
        <w:rPr>
          <w:rFonts w:ascii="Times New Roman" w:hAnsi="Times New Roman"/>
          <w:sz w:val="28"/>
          <w:szCs w:val="28"/>
        </w:rPr>
        <w:t xml:space="preserve"> // Энциклопедический словарь «Гранат». — Т. 41, ч. 9. — С. 536.</w:t>
      </w:r>
    </w:p>
    <w:p w14:paraId="712A49BE" w14:textId="745E213F" w:rsidR="009C227A" w:rsidRPr="009C227A" w:rsidRDefault="009C227A" w:rsidP="00F2530C">
      <w:pPr>
        <w:pStyle w:val="a7"/>
        <w:numPr>
          <w:ilvl w:val="0"/>
          <w:numId w:val="10"/>
        </w:numPr>
        <w:ind w:left="0" w:firstLine="709"/>
        <w:rPr>
          <w:rFonts w:ascii="Times New Roman" w:hAnsi="Times New Roman"/>
          <w:sz w:val="28"/>
          <w:szCs w:val="28"/>
        </w:rPr>
      </w:pPr>
      <w:proofErr w:type="spellStart"/>
      <w:r w:rsidRPr="009C227A">
        <w:rPr>
          <w:rFonts w:ascii="Times New Roman" w:hAnsi="Times New Roman"/>
          <w:sz w:val="28"/>
          <w:szCs w:val="28"/>
        </w:rPr>
        <w:t>Тунгин</w:t>
      </w:r>
      <w:proofErr w:type="spellEnd"/>
      <w:r w:rsidRPr="009C227A">
        <w:rPr>
          <w:rFonts w:ascii="Times New Roman" w:hAnsi="Times New Roman"/>
          <w:sz w:val="28"/>
          <w:szCs w:val="28"/>
        </w:rPr>
        <w:t xml:space="preserve"> // Словарь терминов (глоссарий) по истории государства и права зарубежных стран. — М., 2006.</w:t>
      </w:r>
    </w:p>
    <w:p w14:paraId="7E5BFFB9" w14:textId="5A2E5C41" w:rsidR="009C227A" w:rsidRPr="009C227A" w:rsidRDefault="009C227A" w:rsidP="00F2530C">
      <w:pPr>
        <w:pStyle w:val="a7"/>
        <w:numPr>
          <w:ilvl w:val="0"/>
          <w:numId w:val="10"/>
        </w:numPr>
        <w:ind w:left="0" w:firstLine="709"/>
        <w:rPr>
          <w:rFonts w:ascii="Times New Roman" w:hAnsi="Times New Roman"/>
          <w:sz w:val="28"/>
          <w:szCs w:val="28"/>
        </w:rPr>
      </w:pPr>
      <w:proofErr w:type="spellStart"/>
      <w:r w:rsidRPr="009C227A">
        <w:rPr>
          <w:rFonts w:ascii="Times New Roman" w:hAnsi="Times New Roman"/>
          <w:sz w:val="28"/>
          <w:szCs w:val="28"/>
        </w:rPr>
        <w:t>Центенар</w:t>
      </w:r>
      <w:proofErr w:type="spellEnd"/>
      <w:r w:rsidRPr="009C227A">
        <w:rPr>
          <w:rFonts w:ascii="Times New Roman" w:hAnsi="Times New Roman"/>
          <w:sz w:val="28"/>
          <w:szCs w:val="28"/>
        </w:rPr>
        <w:t xml:space="preserve"> // Энциклопедический словарь Брокгауза и Ефрона: в 86 т. — СПб., 1890–1907.</w:t>
      </w:r>
    </w:p>
    <w:p w14:paraId="1ECD3DE7" w14:textId="59240D68" w:rsidR="00402F2C" w:rsidRPr="009C227A" w:rsidRDefault="009C227A" w:rsidP="00F2530C">
      <w:pPr>
        <w:pStyle w:val="a7"/>
        <w:numPr>
          <w:ilvl w:val="0"/>
          <w:numId w:val="10"/>
        </w:numPr>
        <w:ind w:left="0" w:firstLine="709"/>
        <w:rPr>
          <w:rFonts w:ascii="Times New Roman" w:hAnsi="Times New Roman"/>
          <w:sz w:val="28"/>
          <w:szCs w:val="28"/>
          <w:lang w:val="en-US"/>
        </w:rPr>
      </w:pPr>
      <w:r w:rsidRPr="009C227A">
        <w:rPr>
          <w:rFonts w:ascii="Times New Roman" w:hAnsi="Times New Roman"/>
          <w:sz w:val="28"/>
          <w:szCs w:val="28"/>
        </w:rPr>
        <w:t xml:space="preserve">Салическая правда // Википедия. [Электронный ресурс]. </w:t>
      </w:r>
      <w:r w:rsidRPr="009C227A">
        <w:rPr>
          <w:rFonts w:ascii="Times New Roman" w:hAnsi="Times New Roman"/>
          <w:sz w:val="28"/>
          <w:szCs w:val="28"/>
          <w:lang w:val="en-US"/>
        </w:rPr>
        <w:t>URL: https://ru.wikipedia.org/wiki/</w:t>
      </w:r>
      <w:r w:rsidRPr="009C227A">
        <w:rPr>
          <w:rFonts w:ascii="Times New Roman" w:hAnsi="Times New Roman"/>
          <w:sz w:val="28"/>
          <w:szCs w:val="28"/>
        </w:rPr>
        <w:t>Салическая</w:t>
      </w:r>
      <w:r w:rsidRPr="009C227A">
        <w:rPr>
          <w:rFonts w:ascii="Times New Roman" w:hAnsi="Times New Roman"/>
          <w:sz w:val="28"/>
          <w:szCs w:val="28"/>
          <w:lang w:val="en-US"/>
        </w:rPr>
        <w:t>_</w:t>
      </w:r>
      <w:r w:rsidRPr="009C227A">
        <w:rPr>
          <w:rFonts w:ascii="Times New Roman" w:hAnsi="Times New Roman"/>
          <w:sz w:val="28"/>
          <w:szCs w:val="28"/>
        </w:rPr>
        <w:t>правда</w:t>
      </w:r>
    </w:p>
    <w:p w14:paraId="42CC95D1" w14:textId="77777777" w:rsidR="00377498" w:rsidRPr="00CB3A49" w:rsidRDefault="00CB3A49" w:rsidP="00147344">
      <w:pPr>
        <w:widowControl w:val="0"/>
        <w:autoSpaceDE w:val="0"/>
        <w:autoSpaceDN w:val="0"/>
        <w:adjustRightInd w:val="0"/>
        <w:spacing w:before="19" w:after="20" w:line="240" w:lineRule="auto"/>
        <w:ind w:firstLine="680"/>
        <w:jc w:val="both"/>
        <w:rPr>
          <w:rFonts w:ascii="Times New Roman" w:hAnsi="Times New Roman"/>
          <w:iCs/>
          <w:color w:val="000000"/>
          <w:sz w:val="28"/>
          <w:szCs w:val="28"/>
        </w:rPr>
      </w:pPr>
      <w:r>
        <w:rPr>
          <w:rFonts w:ascii="Times New Roman" w:hAnsi="Times New Roman"/>
          <w:b/>
          <w:iCs/>
          <w:color w:val="000000"/>
          <w:sz w:val="28"/>
          <w:szCs w:val="28"/>
        </w:rPr>
        <w:t>Репа Ефросинья Дмитриевна</w:t>
      </w:r>
      <w:r w:rsidR="00377498" w:rsidRPr="00147344">
        <w:rPr>
          <w:rFonts w:ascii="Times New Roman" w:hAnsi="Times New Roman"/>
          <w:b/>
          <w:iCs/>
          <w:color w:val="000000"/>
          <w:sz w:val="28"/>
          <w:szCs w:val="28"/>
        </w:rPr>
        <w:t xml:space="preserve"> – </w:t>
      </w:r>
      <w:r w:rsidR="00377498" w:rsidRPr="00147344">
        <w:rPr>
          <w:rFonts w:ascii="Times New Roman" w:hAnsi="Times New Roman"/>
          <w:iCs/>
          <w:color w:val="000000"/>
          <w:sz w:val="28"/>
          <w:szCs w:val="28"/>
        </w:rPr>
        <w:t xml:space="preserve">студент Дальневосточного филиала Российского государственного университета, Хабаровск, </w:t>
      </w:r>
      <w:r w:rsidR="007A51CF">
        <w:rPr>
          <w:rFonts w:ascii="Times New Roman" w:hAnsi="Times New Roman"/>
          <w:iCs/>
          <w:color w:val="000000"/>
          <w:sz w:val="28"/>
          <w:szCs w:val="28"/>
        </w:rPr>
        <w:t xml:space="preserve">Россия, </w:t>
      </w:r>
      <w:proofErr w:type="spellStart"/>
      <w:r>
        <w:rPr>
          <w:rFonts w:ascii="Times New Roman" w:hAnsi="Times New Roman"/>
          <w:sz w:val="28"/>
          <w:szCs w:val="28"/>
          <w:lang w:val="en-US"/>
        </w:rPr>
        <w:t>frosiar</w:t>
      </w:r>
      <w:proofErr w:type="spellEnd"/>
      <w:r w:rsidRPr="00CB3A49">
        <w:rPr>
          <w:rFonts w:ascii="Times New Roman" w:hAnsi="Times New Roman"/>
          <w:sz w:val="28"/>
          <w:szCs w:val="28"/>
        </w:rPr>
        <w:t>0@</w:t>
      </w:r>
      <w:proofErr w:type="spellStart"/>
      <w:r>
        <w:rPr>
          <w:rFonts w:ascii="Times New Roman" w:hAnsi="Times New Roman"/>
          <w:sz w:val="28"/>
          <w:szCs w:val="28"/>
          <w:lang w:val="en-US"/>
        </w:rPr>
        <w:t>gmail</w:t>
      </w:r>
      <w:proofErr w:type="spellEnd"/>
      <w:r w:rsidRPr="00CB3A49">
        <w:rPr>
          <w:rFonts w:ascii="Times New Roman" w:hAnsi="Times New Roman"/>
          <w:sz w:val="28"/>
          <w:szCs w:val="28"/>
        </w:rPr>
        <w:t>.</w:t>
      </w:r>
      <w:r>
        <w:rPr>
          <w:rFonts w:ascii="Times New Roman" w:hAnsi="Times New Roman"/>
          <w:sz w:val="28"/>
          <w:szCs w:val="28"/>
          <w:lang w:val="en-US"/>
        </w:rPr>
        <w:t>com</w:t>
      </w:r>
    </w:p>
    <w:p w14:paraId="3D9C5708" w14:textId="77777777" w:rsidR="00377498" w:rsidRPr="00147344" w:rsidRDefault="00377498" w:rsidP="00147344">
      <w:pPr>
        <w:widowControl w:val="0"/>
        <w:autoSpaceDE w:val="0"/>
        <w:autoSpaceDN w:val="0"/>
        <w:adjustRightInd w:val="0"/>
        <w:spacing w:before="19" w:after="20" w:line="240" w:lineRule="auto"/>
        <w:ind w:firstLine="680"/>
        <w:jc w:val="both"/>
        <w:rPr>
          <w:rFonts w:ascii="Times New Roman" w:hAnsi="Times New Roman"/>
          <w:iCs/>
          <w:color w:val="000000"/>
          <w:sz w:val="28"/>
          <w:szCs w:val="28"/>
        </w:rPr>
      </w:pPr>
      <w:r w:rsidRPr="00147344">
        <w:rPr>
          <w:rFonts w:ascii="Times New Roman" w:hAnsi="Times New Roman"/>
          <w:b/>
          <w:iCs/>
          <w:color w:val="000000"/>
          <w:sz w:val="28"/>
          <w:szCs w:val="28"/>
        </w:rPr>
        <w:t xml:space="preserve">Научный руководитель: </w:t>
      </w:r>
      <w:r w:rsidR="00F30434" w:rsidRPr="00147344">
        <w:rPr>
          <w:rFonts w:ascii="Times New Roman" w:hAnsi="Times New Roman"/>
          <w:b/>
          <w:iCs/>
          <w:color w:val="000000"/>
          <w:sz w:val="28"/>
          <w:szCs w:val="28"/>
        </w:rPr>
        <w:t xml:space="preserve">Бучко Николай Петрович </w:t>
      </w:r>
      <w:r w:rsidRPr="00147344">
        <w:rPr>
          <w:rFonts w:ascii="Times New Roman" w:hAnsi="Times New Roman"/>
          <w:iCs/>
          <w:color w:val="000000"/>
          <w:sz w:val="28"/>
          <w:szCs w:val="28"/>
        </w:rPr>
        <w:t>– заведующ</w:t>
      </w:r>
      <w:r w:rsidR="00F30434" w:rsidRPr="00147344">
        <w:rPr>
          <w:rFonts w:ascii="Times New Roman" w:hAnsi="Times New Roman"/>
          <w:iCs/>
          <w:color w:val="000000"/>
          <w:sz w:val="28"/>
          <w:szCs w:val="28"/>
        </w:rPr>
        <w:t xml:space="preserve">ий </w:t>
      </w:r>
      <w:r w:rsidRPr="00147344">
        <w:rPr>
          <w:rFonts w:ascii="Times New Roman" w:hAnsi="Times New Roman"/>
          <w:iCs/>
          <w:color w:val="000000"/>
          <w:sz w:val="28"/>
          <w:szCs w:val="28"/>
        </w:rPr>
        <w:t xml:space="preserve">кафедры </w:t>
      </w:r>
      <w:r w:rsidR="00F30434" w:rsidRPr="00147344">
        <w:rPr>
          <w:rFonts w:ascii="Times New Roman" w:hAnsi="Times New Roman"/>
          <w:iCs/>
          <w:color w:val="000000"/>
          <w:sz w:val="28"/>
          <w:szCs w:val="28"/>
        </w:rPr>
        <w:t>государственных социально - экономических</w:t>
      </w:r>
      <w:r w:rsidRPr="00147344">
        <w:rPr>
          <w:rFonts w:ascii="Times New Roman" w:hAnsi="Times New Roman"/>
          <w:iCs/>
          <w:color w:val="000000"/>
          <w:sz w:val="28"/>
          <w:szCs w:val="28"/>
        </w:rPr>
        <w:t xml:space="preserve"> дисциплин Дальневосточного филиала Российского государственного университета, Хабаровск, Россия.</w:t>
      </w:r>
    </w:p>
    <w:p w14:paraId="31C39B29" w14:textId="77777777" w:rsidR="00377498" w:rsidRPr="00147344" w:rsidRDefault="00377498" w:rsidP="00147344">
      <w:pPr>
        <w:widowControl w:val="0"/>
        <w:autoSpaceDE w:val="0"/>
        <w:autoSpaceDN w:val="0"/>
        <w:adjustRightInd w:val="0"/>
        <w:spacing w:before="19" w:after="20" w:line="240" w:lineRule="auto"/>
        <w:ind w:firstLine="680"/>
        <w:jc w:val="both"/>
        <w:rPr>
          <w:rFonts w:ascii="Times New Roman" w:hAnsi="Times New Roman"/>
          <w:color w:val="000000"/>
          <w:sz w:val="28"/>
          <w:szCs w:val="28"/>
        </w:rPr>
      </w:pPr>
    </w:p>
    <w:p w14:paraId="382431C9" w14:textId="77777777" w:rsidR="00C140F8" w:rsidRPr="00CB3A49" w:rsidRDefault="00CB3A49" w:rsidP="00147344">
      <w:pPr>
        <w:widowControl w:val="0"/>
        <w:autoSpaceDE w:val="0"/>
        <w:autoSpaceDN w:val="0"/>
        <w:adjustRightInd w:val="0"/>
        <w:spacing w:before="19" w:after="20" w:line="240" w:lineRule="auto"/>
        <w:ind w:firstLine="680"/>
        <w:jc w:val="both"/>
        <w:rPr>
          <w:rFonts w:ascii="Times New Roman" w:hAnsi="Times New Roman"/>
          <w:b/>
          <w:iCs/>
          <w:color w:val="000000"/>
          <w:sz w:val="28"/>
          <w:szCs w:val="28"/>
          <w:lang w:val="en-US"/>
        </w:rPr>
      </w:pPr>
      <w:r>
        <w:rPr>
          <w:rFonts w:ascii="Times New Roman" w:hAnsi="Times New Roman"/>
          <w:b/>
          <w:iCs/>
          <w:color w:val="000000"/>
          <w:sz w:val="28"/>
          <w:szCs w:val="28"/>
          <w:lang w:val="en-US"/>
        </w:rPr>
        <w:t xml:space="preserve">Repa </w:t>
      </w:r>
      <w:proofErr w:type="spellStart"/>
      <w:r>
        <w:rPr>
          <w:rFonts w:ascii="Times New Roman" w:hAnsi="Times New Roman"/>
          <w:b/>
          <w:iCs/>
          <w:color w:val="000000"/>
          <w:sz w:val="28"/>
          <w:szCs w:val="28"/>
          <w:lang w:val="en-US"/>
        </w:rPr>
        <w:t>Efrosinya</w:t>
      </w:r>
      <w:proofErr w:type="spellEnd"/>
      <w:r>
        <w:rPr>
          <w:rFonts w:ascii="Times New Roman" w:hAnsi="Times New Roman"/>
          <w:b/>
          <w:iCs/>
          <w:color w:val="000000"/>
          <w:sz w:val="28"/>
          <w:szCs w:val="28"/>
          <w:lang w:val="en-US"/>
        </w:rPr>
        <w:t xml:space="preserve"> Dmitrievna</w:t>
      </w:r>
      <w:r w:rsidR="007A51CF">
        <w:rPr>
          <w:rFonts w:ascii="Times New Roman" w:hAnsi="Times New Roman"/>
          <w:b/>
          <w:iCs/>
          <w:color w:val="000000"/>
          <w:sz w:val="28"/>
          <w:szCs w:val="28"/>
          <w:lang w:val="en-US"/>
        </w:rPr>
        <w:t xml:space="preserve"> </w:t>
      </w:r>
      <w:r w:rsidR="00C140F8" w:rsidRPr="00147344">
        <w:rPr>
          <w:rFonts w:ascii="Times New Roman" w:hAnsi="Times New Roman"/>
          <w:bCs/>
          <w:iCs/>
          <w:color w:val="000000"/>
          <w:sz w:val="28"/>
          <w:szCs w:val="28"/>
          <w:lang w:val="en-US"/>
        </w:rPr>
        <w:t xml:space="preserve">is a student of the Far Eastern Branch of the Russian State University, Khabarovsk, Russia, </w:t>
      </w:r>
      <w:r>
        <w:rPr>
          <w:rFonts w:ascii="Times New Roman" w:hAnsi="Times New Roman"/>
          <w:sz w:val="28"/>
          <w:szCs w:val="28"/>
          <w:lang w:val="en-US"/>
        </w:rPr>
        <w:t>frosiar0@gmail.com</w:t>
      </w:r>
    </w:p>
    <w:p w14:paraId="5F96C735" w14:textId="77777777" w:rsidR="007C4A95" w:rsidRPr="00147344" w:rsidRDefault="00C140F8" w:rsidP="00147344">
      <w:pPr>
        <w:spacing w:line="240" w:lineRule="auto"/>
        <w:ind w:firstLine="680"/>
        <w:jc w:val="both"/>
        <w:rPr>
          <w:rStyle w:val="a6"/>
          <w:rFonts w:ascii="Times New Roman" w:hAnsi="Times New Roman"/>
          <w:b/>
          <w:iCs/>
          <w:sz w:val="28"/>
          <w:szCs w:val="28"/>
          <w:lang w:val="en-US"/>
        </w:rPr>
      </w:pPr>
      <w:r w:rsidRPr="00147344">
        <w:rPr>
          <w:rFonts w:ascii="Times New Roman" w:hAnsi="Times New Roman"/>
          <w:b/>
          <w:iCs/>
          <w:color w:val="000000"/>
          <w:sz w:val="28"/>
          <w:szCs w:val="28"/>
          <w:lang w:val="en-US"/>
        </w:rPr>
        <w:t xml:space="preserve">Scientific supervisor: </w:t>
      </w:r>
      <w:r w:rsidR="00177A51" w:rsidRPr="00147344">
        <w:rPr>
          <w:rFonts w:ascii="Times New Roman" w:hAnsi="Times New Roman"/>
          <w:b/>
          <w:iCs/>
          <w:color w:val="000000"/>
          <w:sz w:val="28"/>
          <w:szCs w:val="28"/>
          <w:lang w:val="en-US"/>
        </w:rPr>
        <w:t xml:space="preserve">Buchko Nikolay Petrovich - </w:t>
      </w:r>
      <w:r w:rsidR="00177A51" w:rsidRPr="00147344">
        <w:rPr>
          <w:rFonts w:ascii="Times New Roman" w:hAnsi="Times New Roman"/>
          <w:bCs/>
          <w:iCs/>
          <w:color w:val="000000"/>
          <w:sz w:val="28"/>
          <w:szCs w:val="28"/>
          <w:lang w:val="en-US"/>
        </w:rPr>
        <w:t>is the Head of the Department of State Socio–Economic Disciplines of the Far Eastern Branch of the Russian State University, Khabarovsk, Russia.</w:t>
      </w:r>
      <w:r w:rsidR="00FB1E39" w:rsidRPr="00147344">
        <w:rPr>
          <w:rFonts w:ascii="Times New Roman" w:hAnsi="Times New Roman"/>
          <w:b/>
          <w:iCs/>
          <w:color w:val="000000"/>
          <w:sz w:val="28"/>
          <w:szCs w:val="28"/>
        </w:rPr>
        <w:fldChar w:fldCharType="begin"/>
      </w:r>
      <w:r w:rsidR="007C4A95" w:rsidRPr="00147344">
        <w:rPr>
          <w:rFonts w:ascii="Times New Roman" w:hAnsi="Times New Roman"/>
          <w:b/>
          <w:iCs/>
          <w:color w:val="000000"/>
          <w:sz w:val="28"/>
          <w:szCs w:val="28"/>
          <w:lang w:val="en-US"/>
        </w:rPr>
        <w:instrText>HYPERLINK "https://translate.yandex.ru/translator/%D0%A0%D1%83%D1%81%D1%81%D0%BA%D0%B8%D0%B9-%D0%90%D0%BD%D0%B3%D0%BB%D0%B8%D0%B9%D1%81%D0%BA%D0%B8%D0%B9" \t "_blank"</w:instrText>
      </w:r>
      <w:r w:rsidR="00FB1E39" w:rsidRPr="00147344">
        <w:rPr>
          <w:rFonts w:ascii="Times New Roman" w:hAnsi="Times New Roman"/>
          <w:b/>
          <w:iCs/>
          <w:color w:val="000000"/>
          <w:sz w:val="28"/>
          <w:szCs w:val="28"/>
        </w:rPr>
      </w:r>
      <w:r w:rsidR="00FB1E39" w:rsidRPr="00147344">
        <w:rPr>
          <w:rFonts w:ascii="Times New Roman" w:hAnsi="Times New Roman"/>
          <w:b/>
          <w:iCs/>
          <w:color w:val="000000"/>
          <w:sz w:val="28"/>
          <w:szCs w:val="28"/>
        </w:rPr>
        <w:fldChar w:fldCharType="separate"/>
      </w:r>
    </w:p>
    <w:p w14:paraId="36651844" w14:textId="77777777" w:rsidR="007C4A95" w:rsidRPr="00147344" w:rsidRDefault="00FB1E39" w:rsidP="00147344">
      <w:pPr>
        <w:spacing w:line="240" w:lineRule="auto"/>
        <w:ind w:firstLine="680"/>
        <w:jc w:val="both"/>
        <w:rPr>
          <w:rFonts w:ascii="Times New Roman" w:hAnsi="Times New Roman"/>
          <w:b/>
          <w:i/>
          <w:color w:val="000000"/>
          <w:sz w:val="28"/>
          <w:szCs w:val="28"/>
          <w:lang w:val="en-US"/>
        </w:rPr>
      </w:pPr>
      <w:r w:rsidRPr="00147344">
        <w:rPr>
          <w:rFonts w:ascii="Times New Roman" w:hAnsi="Times New Roman"/>
          <w:b/>
          <w:iCs/>
          <w:color w:val="000000"/>
          <w:sz w:val="28"/>
          <w:szCs w:val="28"/>
          <w:lang w:val="en-US"/>
        </w:rPr>
        <w:fldChar w:fldCharType="end"/>
      </w:r>
    </w:p>
    <w:p w14:paraId="5F60C4A3" w14:textId="77777777" w:rsidR="00377498" w:rsidRPr="00147344" w:rsidRDefault="00377498" w:rsidP="00147344">
      <w:pPr>
        <w:spacing w:line="240" w:lineRule="auto"/>
        <w:ind w:firstLine="680"/>
        <w:jc w:val="both"/>
        <w:rPr>
          <w:rFonts w:ascii="Times New Roman" w:hAnsi="Times New Roman"/>
          <w:sz w:val="28"/>
          <w:szCs w:val="28"/>
          <w:lang w:val="en-US"/>
        </w:rPr>
      </w:pPr>
    </w:p>
    <w:sectPr w:rsidR="00377498" w:rsidRPr="00147344" w:rsidSect="00147344">
      <w:pgSz w:w="12240" w:h="15840"/>
      <w:pgMar w:top="1304" w:right="1644" w:bottom="1361" w:left="119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6EF53" w14:textId="77777777" w:rsidR="00CE1264" w:rsidRDefault="00CE1264" w:rsidP="000E63E1">
      <w:pPr>
        <w:spacing w:after="0" w:line="240" w:lineRule="auto"/>
      </w:pPr>
      <w:r>
        <w:separator/>
      </w:r>
    </w:p>
  </w:endnote>
  <w:endnote w:type="continuationSeparator" w:id="0">
    <w:p w14:paraId="7B4DD0CA" w14:textId="77777777" w:rsidR="00CE1264" w:rsidRDefault="00CE1264" w:rsidP="000E6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D20D" w14:textId="77777777" w:rsidR="00CE1264" w:rsidRDefault="00CE1264" w:rsidP="000E63E1">
      <w:pPr>
        <w:spacing w:after="0" w:line="240" w:lineRule="auto"/>
      </w:pPr>
      <w:r>
        <w:separator/>
      </w:r>
    </w:p>
  </w:footnote>
  <w:footnote w:type="continuationSeparator" w:id="0">
    <w:p w14:paraId="2C690AC9" w14:textId="77777777" w:rsidR="00CE1264" w:rsidRDefault="00CE1264" w:rsidP="000E63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D5F0C"/>
    <w:multiLevelType w:val="hybridMultilevel"/>
    <w:tmpl w:val="8004854E"/>
    <w:lvl w:ilvl="0" w:tplc="0419000F">
      <w:start w:val="1"/>
      <w:numFmt w:val="decimal"/>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 w15:restartNumberingAfterBreak="0">
    <w:nsid w:val="24C556AB"/>
    <w:multiLevelType w:val="hybridMultilevel"/>
    <w:tmpl w:val="29F4D10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32E066B0"/>
    <w:multiLevelType w:val="hybridMultilevel"/>
    <w:tmpl w:val="5E205EB0"/>
    <w:lvl w:ilvl="0" w:tplc="DCF435F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413D9D"/>
    <w:multiLevelType w:val="hybridMultilevel"/>
    <w:tmpl w:val="FFE20F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807B65"/>
    <w:multiLevelType w:val="multilevel"/>
    <w:tmpl w:val="41CA3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C50F30"/>
    <w:multiLevelType w:val="multilevel"/>
    <w:tmpl w:val="9B7ED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A06AB0"/>
    <w:multiLevelType w:val="hybridMultilevel"/>
    <w:tmpl w:val="4F12F43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633C4319"/>
    <w:multiLevelType w:val="multilevel"/>
    <w:tmpl w:val="8BF01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01FFA"/>
    <w:multiLevelType w:val="hybridMultilevel"/>
    <w:tmpl w:val="BD587F1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7D626960"/>
    <w:multiLevelType w:val="hybridMultilevel"/>
    <w:tmpl w:val="168A1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10899201">
    <w:abstractNumId w:val="7"/>
  </w:num>
  <w:num w:numId="2" w16cid:durableId="2088838227">
    <w:abstractNumId w:val="5"/>
  </w:num>
  <w:num w:numId="3" w16cid:durableId="1015153804">
    <w:abstractNumId w:val="0"/>
  </w:num>
  <w:num w:numId="4" w16cid:durableId="1723750208">
    <w:abstractNumId w:val="3"/>
  </w:num>
  <w:num w:numId="5" w16cid:durableId="2099206080">
    <w:abstractNumId w:val="4"/>
  </w:num>
  <w:num w:numId="6" w16cid:durableId="1274439322">
    <w:abstractNumId w:val="6"/>
  </w:num>
  <w:num w:numId="7" w16cid:durableId="291205287">
    <w:abstractNumId w:val="1"/>
  </w:num>
  <w:num w:numId="8" w16cid:durableId="1700817958">
    <w:abstractNumId w:val="2"/>
  </w:num>
  <w:num w:numId="9" w16cid:durableId="849370857">
    <w:abstractNumId w:val="9"/>
  </w:num>
  <w:num w:numId="10" w16cid:durableId="19845043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33E"/>
    <w:rsid w:val="00000E8C"/>
    <w:rsid w:val="00002527"/>
    <w:rsid w:val="000243F9"/>
    <w:rsid w:val="000356D0"/>
    <w:rsid w:val="000442D3"/>
    <w:rsid w:val="00050F27"/>
    <w:rsid w:val="0006369D"/>
    <w:rsid w:val="0006680E"/>
    <w:rsid w:val="00074CAD"/>
    <w:rsid w:val="00082641"/>
    <w:rsid w:val="00086C34"/>
    <w:rsid w:val="000871EF"/>
    <w:rsid w:val="0008773F"/>
    <w:rsid w:val="0008777D"/>
    <w:rsid w:val="000902F0"/>
    <w:rsid w:val="00093183"/>
    <w:rsid w:val="000938A5"/>
    <w:rsid w:val="00093C8D"/>
    <w:rsid w:val="00097764"/>
    <w:rsid w:val="000A1D1E"/>
    <w:rsid w:val="000B064F"/>
    <w:rsid w:val="000B34AB"/>
    <w:rsid w:val="000D2548"/>
    <w:rsid w:val="000D3E8F"/>
    <w:rsid w:val="000E0B0A"/>
    <w:rsid w:val="000E3C06"/>
    <w:rsid w:val="000E3C70"/>
    <w:rsid w:val="000E52C3"/>
    <w:rsid w:val="000E63E1"/>
    <w:rsid w:val="000E7AEE"/>
    <w:rsid w:val="000F05F3"/>
    <w:rsid w:val="000F32EA"/>
    <w:rsid w:val="000F51B3"/>
    <w:rsid w:val="00102708"/>
    <w:rsid w:val="00102A84"/>
    <w:rsid w:val="00110999"/>
    <w:rsid w:val="0011178C"/>
    <w:rsid w:val="0014125A"/>
    <w:rsid w:val="00145AE3"/>
    <w:rsid w:val="00147344"/>
    <w:rsid w:val="00150418"/>
    <w:rsid w:val="001539FC"/>
    <w:rsid w:val="00165FF2"/>
    <w:rsid w:val="00167F96"/>
    <w:rsid w:val="00173AFC"/>
    <w:rsid w:val="00177A51"/>
    <w:rsid w:val="00182FCC"/>
    <w:rsid w:val="00187A93"/>
    <w:rsid w:val="001929B7"/>
    <w:rsid w:val="00197033"/>
    <w:rsid w:val="00197CBE"/>
    <w:rsid w:val="001A210F"/>
    <w:rsid w:val="001A23BE"/>
    <w:rsid w:val="001A4DAA"/>
    <w:rsid w:val="001A66C2"/>
    <w:rsid w:val="001A7DB5"/>
    <w:rsid w:val="001B405B"/>
    <w:rsid w:val="001C1D4D"/>
    <w:rsid w:val="001C46A8"/>
    <w:rsid w:val="001C7299"/>
    <w:rsid w:val="001D0281"/>
    <w:rsid w:val="001D3454"/>
    <w:rsid w:val="001D5EE3"/>
    <w:rsid w:val="001E0ADE"/>
    <w:rsid w:val="001E4D08"/>
    <w:rsid w:val="001E5A84"/>
    <w:rsid w:val="001F4246"/>
    <w:rsid w:val="001F7F15"/>
    <w:rsid w:val="00204066"/>
    <w:rsid w:val="00215238"/>
    <w:rsid w:val="00216FF9"/>
    <w:rsid w:val="00217621"/>
    <w:rsid w:val="00230FD7"/>
    <w:rsid w:val="00231B11"/>
    <w:rsid w:val="00231F38"/>
    <w:rsid w:val="002339C7"/>
    <w:rsid w:val="002363B3"/>
    <w:rsid w:val="00240521"/>
    <w:rsid w:val="0024116E"/>
    <w:rsid w:val="0024385C"/>
    <w:rsid w:val="00243A3D"/>
    <w:rsid w:val="00245059"/>
    <w:rsid w:val="00247170"/>
    <w:rsid w:val="002518A0"/>
    <w:rsid w:val="002530E9"/>
    <w:rsid w:val="00273174"/>
    <w:rsid w:val="00283D83"/>
    <w:rsid w:val="0028464C"/>
    <w:rsid w:val="00285029"/>
    <w:rsid w:val="00290174"/>
    <w:rsid w:val="0029371C"/>
    <w:rsid w:val="00294068"/>
    <w:rsid w:val="00295471"/>
    <w:rsid w:val="002A7E6C"/>
    <w:rsid w:val="002B7F69"/>
    <w:rsid w:val="002C0E1F"/>
    <w:rsid w:val="002C1939"/>
    <w:rsid w:val="002D3DAE"/>
    <w:rsid w:val="002E099D"/>
    <w:rsid w:val="002E291A"/>
    <w:rsid w:val="002E4524"/>
    <w:rsid w:val="002E462C"/>
    <w:rsid w:val="002E468E"/>
    <w:rsid w:val="002E6F94"/>
    <w:rsid w:val="002F6D3A"/>
    <w:rsid w:val="003035D4"/>
    <w:rsid w:val="00310CFA"/>
    <w:rsid w:val="00313FF5"/>
    <w:rsid w:val="0031407E"/>
    <w:rsid w:val="00321236"/>
    <w:rsid w:val="0032739E"/>
    <w:rsid w:val="00331B78"/>
    <w:rsid w:val="00337A61"/>
    <w:rsid w:val="003414B7"/>
    <w:rsid w:val="00353257"/>
    <w:rsid w:val="003578B8"/>
    <w:rsid w:val="00377498"/>
    <w:rsid w:val="00380B08"/>
    <w:rsid w:val="003870A2"/>
    <w:rsid w:val="003926A3"/>
    <w:rsid w:val="003969B2"/>
    <w:rsid w:val="00397800"/>
    <w:rsid w:val="003A3416"/>
    <w:rsid w:val="003A6B23"/>
    <w:rsid w:val="003B3FE4"/>
    <w:rsid w:val="003B4D7A"/>
    <w:rsid w:val="003E256C"/>
    <w:rsid w:val="003E5FD0"/>
    <w:rsid w:val="003E6908"/>
    <w:rsid w:val="003F51DD"/>
    <w:rsid w:val="00402B21"/>
    <w:rsid w:val="00402F2C"/>
    <w:rsid w:val="00403A11"/>
    <w:rsid w:val="00405AA4"/>
    <w:rsid w:val="0042213F"/>
    <w:rsid w:val="00437D45"/>
    <w:rsid w:val="00444A5D"/>
    <w:rsid w:val="00444ED6"/>
    <w:rsid w:val="0045052E"/>
    <w:rsid w:val="00456746"/>
    <w:rsid w:val="00456B56"/>
    <w:rsid w:val="00457BB2"/>
    <w:rsid w:val="004614AF"/>
    <w:rsid w:val="004644DA"/>
    <w:rsid w:val="00470BA6"/>
    <w:rsid w:val="00471D60"/>
    <w:rsid w:val="00474903"/>
    <w:rsid w:val="004773EA"/>
    <w:rsid w:val="00482496"/>
    <w:rsid w:val="00490B9C"/>
    <w:rsid w:val="004A084E"/>
    <w:rsid w:val="004B0D63"/>
    <w:rsid w:val="004D4A00"/>
    <w:rsid w:val="004E02B1"/>
    <w:rsid w:val="004E18E2"/>
    <w:rsid w:val="004E43B9"/>
    <w:rsid w:val="005007BA"/>
    <w:rsid w:val="00507AAC"/>
    <w:rsid w:val="00510305"/>
    <w:rsid w:val="00513FF8"/>
    <w:rsid w:val="00521551"/>
    <w:rsid w:val="00523CF4"/>
    <w:rsid w:val="00530DE8"/>
    <w:rsid w:val="00532761"/>
    <w:rsid w:val="00537B8F"/>
    <w:rsid w:val="005400DC"/>
    <w:rsid w:val="00543F09"/>
    <w:rsid w:val="00544823"/>
    <w:rsid w:val="005528DF"/>
    <w:rsid w:val="0055631C"/>
    <w:rsid w:val="005675A6"/>
    <w:rsid w:val="00570675"/>
    <w:rsid w:val="005730AF"/>
    <w:rsid w:val="00575A32"/>
    <w:rsid w:val="00577130"/>
    <w:rsid w:val="005817D5"/>
    <w:rsid w:val="00582F62"/>
    <w:rsid w:val="0059407E"/>
    <w:rsid w:val="0059645E"/>
    <w:rsid w:val="00597890"/>
    <w:rsid w:val="005A411C"/>
    <w:rsid w:val="005A7D5F"/>
    <w:rsid w:val="005B1587"/>
    <w:rsid w:val="005D6569"/>
    <w:rsid w:val="005E5791"/>
    <w:rsid w:val="005F1F5E"/>
    <w:rsid w:val="005F5097"/>
    <w:rsid w:val="00606A14"/>
    <w:rsid w:val="00607B17"/>
    <w:rsid w:val="00613822"/>
    <w:rsid w:val="00637E43"/>
    <w:rsid w:val="006556AA"/>
    <w:rsid w:val="00657527"/>
    <w:rsid w:val="00661EE1"/>
    <w:rsid w:val="00665841"/>
    <w:rsid w:val="00667682"/>
    <w:rsid w:val="00670269"/>
    <w:rsid w:val="006714A1"/>
    <w:rsid w:val="006745A4"/>
    <w:rsid w:val="00675953"/>
    <w:rsid w:val="00684392"/>
    <w:rsid w:val="00693190"/>
    <w:rsid w:val="006A0E23"/>
    <w:rsid w:val="006A2417"/>
    <w:rsid w:val="006B110B"/>
    <w:rsid w:val="006B5C48"/>
    <w:rsid w:val="006C159F"/>
    <w:rsid w:val="006C162E"/>
    <w:rsid w:val="006D37C5"/>
    <w:rsid w:val="006D5274"/>
    <w:rsid w:val="006E45A5"/>
    <w:rsid w:val="006F25E1"/>
    <w:rsid w:val="006F3DDF"/>
    <w:rsid w:val="006F638B"/>
    <w:rsid w:val="007126B3"/>
    <w:rsid w:val="0072613E"/>
    <w:rsid w:val="00727653"/>
    <w:rsid w:val="00730636"/>
    <w:rsid w:val="007648E6"/>
    <w:rsid w:val="007649FC"/>
    <w:rsid w:val="00765702"/>
    <w:rsid w:val="00767360"/>
    <w:rsid w:val="007739E9"/>
    <w:rsid w:val="00774774"/>
    <w:rsid w:val="007748C8"/>
    <w:rsid w:val="0078058C"/>
    <w:rsid w:val="00780A5C"/>
    <w:rsid w:val="00793C5A"/>
    <w:rsid w:val="0079506F"/>
    <w:rsid w:val="007A04E7"/>
    <w:rsid w:val="007A414B"/>
    <w:rsid w:val="007A4CE1"/>
    <w:rsid w:val="007A51CF"/>
    <w:rsid w:val="007B2EC5"/>
    <w:rsid w:val="007B3D7D"/>
    <w:rsid w:val="007B5B7C"/>
    <w:rsid w:val="007C083C"/>
    <w:rsid w:val="007C4A95"/>
    <w:rsid w:val="007C75AD"/>
    <w:rsid w:val="007D3BD6"/>
    <w:rsid w:val="007D5F34"/>
    <w:rsid w:val="007D6105"/>
    <w:rsid w:val="007D6F5E"/>
    <w:rsid w:val="007E04D7"/>
    <w:rsid w:val="007E0E18"/>
    <w:rsid w:val="007E42E6"/>
    <w:rsid w:val="007E629E"/>
    <w:rsid w:val="007E79DD"/>
    <w:rsid w:val="00812793"/>
    <w:rsid w:val="00821556"/>
    <w:rsid w:val="008368F3"/>
    <w:rsid w:val="00843615"/>
    <w:rsid w:val="00844C0F"/>
    <w:rsid w:val="00851020"/>
    <w:rsid w:val="0085123A"/>
    <w:rsid w:val="00856431"/>
    <w:rsid w:val="00865886"/>
    <w:rsid w:val="00875CFE"/>
    <w:rsid w:val="00881AE7"/>
    <w:rsid w:val="008937B9"/>
    <w:rsid w:val="008A00EB"/>
    <w:rsid w:val="008A269E"/>
    <w:rsid w:val="008A3B6F"/>
    <w:rsid w:val="008A3F87"/>
    <w:rsid w:val="008A7652"/>
    <w:rsid w:val="008A7786"/>
    <w:rsid w:val="008C2BF4"/>
    <w:rsid w:val="008C2F86"/>
    <w:rsid w:val="008D26D9"/>
    <w:rsid w:val="008D4D70"/>
    <w:rsid w:val="008E6645"/>
    <w:rsid w:val="008E674F"/>
    <w:rsid w:val="008F694C"/>
    <w:rsid w:val="008F7379"/>
    <w:rsid w:val="008F75AC"/>
    <w:rsid w:val="00906724"/>
    <w:rsid w:val="009217FE"/>
    <w:rsid w:val="00921AA1"/>
    <w:rsid w:val="009260AE"/>
    <w:rsid w:val="00926755"/>
    <w:rsid w:val="009306BF"/>
    <w:rsid w:val="009407F4"/>
    <w:rsid w:val="00945CF4"/>
    <w:rsid w:val="00950546"/>
    <w:rsid w:val="009507E6"/>
    <w:rsid w:val="00965839"/>
    <w:rsid w:val="00984397"/>
    <w:rsid w:val="009900F7"/>
    <w:rsid w:val="00995385"/>
    <w:rsid w:val="009A1A77"/>
    <w:rsid w:val="009A3971"/>
    <w:rsid w:val="009B1167"/>
    <w:rsid w:val="009C1BB6"/>
    <w:rsid w:val="009C227A"/>
    <w:rsid w:val="009C22F9"/>
    <w:rsid w:val="009C4E0D"/>
    <w:rsid w:val="009C5070"/>
    <w:rsid w:val="009C635E"/>
    <w:rsid w:val="009D2FA5"/>
    <w:rsid w:val="009E274F"/>
    <w:rsid w:val="009E3E11"/>
    <w:rsid w:val="00A10786"/>
    <w:rsid w:val="00A113A9"/>
    <w:rsid w:val="00A15E70"/>
    <w:rsid w:val="00A166F3"/>
    <w:rsid w:val="00A16E97"/>
    <w:rsid w:val="00A21B55"/>
    <w:rsid w:val="00A251C1"/>
    <w:rsid w:val="00A40890"/>
    <w:rsid w:val="00A45E21"/>
    <w:rsid w:val="00A46CDA"/>
    <w:rsid w:val="00A52ACA"/>
    <w:rsid w:val="00A62BCE"/>
    <w:rsid w:val="00A66AD1"/>
    <w:rsid w:val="00A84E3B"/>
    <w:rsid w:val="00A860BF"/>
    <w:rsid w:val="00A972A5"/>
    <w:rsid w:val="00AA044A"/>
    <w:rsid w:val="00AA2003"/>
    <w:rsid w:val="00AA28C3"/>
    <w:rsid w:val="00AA3494"/>
    <w:rsid w:val="00AB54F5"/>
    <w:rsid w:val="00AC13F7"/>
    <w:rsid w:val="00AC45B3"/>
    <w:rsid w:val="00AD0DCE"/>
    <w:rsid w:val="00AD1A1D"/>
    <w:rsid w:val="00AD1CD3"/>
    <w:rsid w:val="00AD7189"/>
    <w:rsid w:val="00AD77C2"/>
    <w:rsid w:val="00AF3BC6"/>
    <w:rsid w:val="00AF7FFA"/>
    <w:rsid w:val="00B034DF"/>
    <w:rsid w:val="00B06B13"/>
    <w:rsid w:val="00B12CC0"/>
    <w:rsid w:val="00B13B66"/>
    <w:rsid w:val="00B20911"/>
    <w:rsid w:val="00B36952"/>
    <w:rsid w:val="00B477D8"/>
    <w:rsid w:val="00B74DE4"/>
    <w:rsid w:val="00B768FA"/>
    <w:rsid w:val="00B77FCF"/>
    <w:rsid w:val="00B80226"/>
    <w:rsid w:val="00B85976"/>
    <w:rsid w:val="00B85AC4"/>
    <w:rsid w:val="00B86174"/>
    <w:rsid w:val="00B91F67"/>
    <w:rsid w:val="00BA0914"/>
    <w:rsid w:val="00BA3637"/>
    <w:rsid w:val="00BB4EDC"/>
    <w:rsid w:val="00BB50D3"/>
    <w:rsid w:val="00BB552C"/>
    <w:rsid w:val="00BB7A1C"/>
    <w:rsid w:val="00BC0768"/>
    <w:rsid w:val="00BC0D52"/>
    <w:rsid w:val="00BC43F3"/>
    <w:rsid w:val="00BD17C7"/>
    <w:rsid w:val="00BE7559"/>
    <w:rsid w:val="00BF4514"/>
    <w:rsid w:val="00C019B2"/>
    <w:rsid w:val="00C01CD8"/>
    <w:rsid w:val="00C07AED"/>
    <w:rsid w:val="00C10D39"/>
    <w:rsid w:val="00C140F8"/>
    <w:rsid w:val="00C17FB1"/>
    <w:rsid w:val="00C25434"/>
    <w:rsid w:val="00C25454"/>
    <w:rsid w:val="00C31A55"/>
    <w:rsid w:val="00C34284"/>
    <w:rsid w:val="00C37A84"/>
    <w:rsid w:val="00C4085B"/>
    <w:rsid w:val="00C52A1C"/>
    <w:rsid w:val="00C56C58"/>
    <w:rsid w:val="00C622A7"/>
    <w:rsid w:val="00C65376"/>
    <w:rsid w:val="00C71ED3"/>
    <w:rsid w:val="00C75AF8"/>
    <w:rsid w:val="00C7675E"/>
    <w:rsid w:val="00C77959"/>
    <w:rsid w:val="00C95F66"/>
    <w:rsid w:val="00C97183"/>
    <w:rsid w:val="00CA0AB7"/>
    <w:rsid w:val="00CB3A49"/>
    <w:rsid w:val="00CC196A"/>
    <w:rsid w:val="00CC2ECD"/>
    <w:rsid w:val="00CC735F"/>
    <w:rsid w:val="00CD08F3"/>
    <w:rsid w:val="00CD678A"/>
    <w:rsid w:val="00CD7AA6"/>
    <w:rsid w:val="00CE1264"/>
    <w:rsid w:val="00CE4802"/>
    <w:rsid w:val="00CF22ED"/>
    <w:rsid w:val="00CF3227"/>
    <w:rsid w:val="00D0359E"/>
    <w:rsid w:val="00D03F04"/>
    <w:rsid w:val="00D0503C"/>
    <w:rsid w:val="00D0657C"/>
    <w:rsid w:val="00D2233E"/>
    <w:rsid w:val="00D31C76"/>
    <w:rsid w:val="00D33DA7"/>
    <w:rsid w:val="00D36F94"/>
    <w:rsid w:val="00D4175F"/>
    <w:rsid w:val="00D54386"/>
    <w:rsid w:val="00D62949"/>
    <w:rsid w:val="00D65C0F"/>
    <w:rsid w:val="00D707E3"/>
    <w:rsid w:val="00D74F11"/>
    <w:rsid w:val="00D95EA7"/>
    <w:rsid w:val="00DA25FF"/>
    <w:rsid w:val="00DB7920"/>
    <w:rsid w:val="00DC6517"/>
    <w:rsid w:val="00DD10D2"/>
    <w:rsid w:val="00DD4718"/>
    <w:rsid w:val="00DE2F63"/>
    <w:rsid w:val="00DE45AF"/>
    <w:rsid w:val="00DE729B"/>
    <w:rsid w:val="00DF21B2"/>
    <w:rsid w:val="00DF4173"/>
    <w:rsid w:val="00E05314"/>
    <w:rsid w:val="00E2628B"/>
    <w:rsid w:val="00E31E33"/>
    <w:rsid w:val="00E33E0B"/>
    <w:rsid w:val="00E34D20"/>
    <w:rsid w:val="00E56097"/>
    <w:rsid w:val="00E5670A"/>
    <w:rsid w:val="00E56ECF"/>
    <w:rsid w:val="00E60F33"/>
    <w:rsid w:val="00E61B97"/>
    <w:rsid w:val="00E80793"/>
    <w:rsid w:val="00E8434E"/>
    <w:rsid w:val="00E85007"/>
    <w:rsid w:val="00E86838"/>
    <w:rsid w:val="00E868C7"/>
    <w:rsid w:val="00E90CB1"/>
    <w:rsid w:val="00E914B7"/>
    <w:rsid w:val="00EA5029"/>
    <w:rsid w:val="00EB2800"/>
    <w:rsid w:val="00EB579F"/>
    <w:rsid w:val="00EB6772"/>
    <w:rsid w:val="00EE0DBA"/>
    <w:rsid w:val="00EE1D21"/>
    <w:rsid w:val="00EE3033"/>
    <w:rsid w:val="00EE3922"/>
    <w:rsid w:val="00EF47D2"/>
    <w:rsid w:val="00EF49F1"/>
    <w:rsid w:val="00EF73FD"/>
    <w:rsid w:val="00EF7A03"/>
    <w:rsid w:val="00F06F74"/>
    <w:rsid w:val="00F07695"/>
    <w:rsid w:val="00F114C8"/>
    <w:rsid w:val="00F134D0"/>
    <w:rsid w:val="00F1487A"/>
    <w:rsid w:val="00F16A21"/>
    <w:rsid w:val="00F20A73"/>
    <w:rsid w:val="00F20DD8"/>
    <w:rsid w:val="00F24707"/>
    <w:rsid w:val="00F2530C"/>
    <w:rsid w:val="00F27B21"/>
    <w:rsid w:val="00F30434"/>
    <w:rsid w:val="00F310C1"/>
    <w:rsid w:val="00F35FB1"/>
    <w:rsid w:val="00F41379"/>
    <w:rsid w:val="00F42EC6"/>
    <w:rsid w:val="00F448A3"/>
    <w:rsid w:val="00F451AA"/>
    <w:rsid w:val="00F45501"/>
    <w:rsid w:val="00F54446"/>
    <w:rsid w:val="00F54A30"/>
    <w:rsid w:val="00F60238"/>
    <w:rsid w:val="00F61AEA"/>
    <w:rsid w:val="00F75B26"/>
    <w:rsid w:val="00F81E9A"/>
    <w:rsid w:val="00F9413B"/>
    <w:rsid w:val="00FA7593"/>
    <w:rsid w:val="00FB1E39"/>
    <w:rsid w:val="00FB31DE"/>
    <w:rsid w:val="00FB4236"/>
    <w:rsid w:val="00FB592D"/>
    <w:rsid w:val="00FB6893"/>
    <w:rsid w:val="00FC3479"/>
    <w:rsid w:val="00FC63C8"/>
    <w:rsid w:val="00FC6CA3"/>
    <w:rsid w:val="00FD0F47"/>
    <w:rsid w:val="00FD3535"/>
    <w:rsid w:val="00FD3DC5"/>
    <w:rsid w:val="00FE1B16"/>
    <w:rsid w:val="00FE2408"/>
    <w:rsid w:val="00FE570F"/>
    <w:rsid w:val="00FF34CE"/>
    <w:rsid w:val="00FF43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8331"/>
  <w15:docId w15:val="{56B27115-9139-494F-9D1F-ECAAB5F5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FF2"/>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6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33E0B"/>
    <w:rPr>
      <w:b/>
      <w:bCs/>
    </w:rPr>
  </w:style>
  <w:style w:type="paragraph" w:customStyle="1" w:styleId="richfactdown-paragraph">
    <w:name w:val="richfactdown-paragraph"/>
    <w:basedOn w:val="a"/>
    <w:rsid w:val="00D65C0F"/>
    <w:pPr>
      <w:spacing w:before="100" w:beforeAutospacing="1" w:after="100" w:afterAutospacing="1" w:line="240" w:lineRule="auto"/>
    </w:pPr>
    <w:rPr>
      <w:rFonts w:ascii="Times New Roman" w:eastAsia="Times New Roman" w:hAnsi="Times New Roman"/>
      <w:sz w:val="24"/>
      <w:szCs w:val="24"/>
    </w:rPr>
  </w:style>
  <w:style w:type="paragraph" w:customStyle="1" w:styleId="im-mess">
    <w:name w:val="im-mess"/>
    <w:basedOn w:val="a"/>
    <w:rsid w:val="001929B7"/>
    <w:pPr>
      <w:spacing w:before="100" w:beforeAutospacing="1" w:after="100" w:afterAutospacing="1" w:line="240" w:lineRule="auto"/>
    </w:pPr>
    <w:rPr>
      <w:rFonts w:ascii="Times New Roman" w:eastAsia="Times New Roman" w:hAnsi="Times New Roman"/>
      <w:sz w:val="24"/>
      <w:szCs w:val="24"/>
    </w:rPr>
  </w:style>
  <w:style w:type="paragraph" w:styleId="a5">
    <w:name w:val="Normal (Web)"/>
    <w:basedOn w:val="a"/>
    <w:uiPriority w:val="99"/>
    <w:semiHidden/>
    <w:unhideWhenUsed/>
    <w:rsid w:val="00E2628B"/>
    <w:pPr>
      <w:spacing w:before="100" w:beforeAutospacing="1" w:after="100" w:afterAutospacing="1" w:line="240" w:lineRule="auto"/>
    </w:pPr>
    <w:rPr>
      <w:rFonts w:ascii="Times New Roman" w:eastAsia="Times New Roman" w:hAnsi="Times New Roman"/>
      <w:sz w:val="24"/>
      <w:szCs w:val="24"/>
    </w:rPr>
  </w:style>
  <w:style w:type="paragraph" w:customStyle="1" w:styleId="futurismarkdown-paragraph">
    <w:name w:val="futurismarkdown-paragraph"/>
    <w:basedOn w:val="a"/>
    <w:rsid w:val="001F4246"/>
    <w:pPr>
      <w:spacing w:before="100" w:beforeAutospacing="1" w:after="100" w:afterAutospacing="1" w:line="240" w:lineRule="auto"/>
    </w:pPr>
    <w:rPr>
      <w:rFonts w:ascii="Times New Roman" w:eastAsia="Times New Roman" w:hAnsi="Times New Roman"/>
      <w:sz w:val="24"/>
      <w:szCs w:val="24"/>
    </w:rPr>
  </w:style>
  <w:style w:type="character" w:styleId="a6">
    <w:name w:val="Hyperlink"/>
    <w:basedOn w:val="a0"/>
    <w:uiPriority w:val="99"/>
    <w:unhideWhenUsed/>
    <w:rsid w:val="001F4246"/>
    <w:rPr>
      <w:color w:val="0000FF"/>
      <w:u w:val="single"/>
    </w:rPr>
  </w:style>
  <w:style w:type="paragraph" w:styleId="a7">
    <w:name w:val="List Paragraph"/>
    <w:basedOn w:val="a"/>
    <w:uiPriority w:val="34"/>
    <w:qFormat/>
    <w:rsid w:val="008E6645"/>
    <w:pPr>
      <w:ind w:left="720"/>
      <w:contextualSpacing/>
    </w:pPr>
  </w:style>
  <w:style w:type="character" w:customStyle="1" w:styleId="1">
    <w:name w:val="Неразрешенное упоминание1"/>
    <w:basedOn w:val="a0"/>
    <w:uiPriority w:val="99"/>
    <w:semiHidden/>
    <w:unhideWhenUsed/>
    <w:rsid w:val="007C4A95"/>
    <w:rPr>
      <w:color w:val="605E5C"/>
      <w:shd w:val="clear" w:color="auto" w:fill="E1DFDD"/>
    </w:rPr>
  </w:style>
  <w:style w:type="character" w:styleId="a8">
    <w:name w:val="FollowedHyperlink"/>
    <w:basedOn w:val="a0"/>
    <w:uiPriority w:val="99"/>
    <w:semiHidden/>
    <w:unhideWhenUsed/>
    <w:rsid w:val="007C4A95"/>
    <w:rPr>
      <w:color w:val="954F72" w:themeColor="followedHyperlink"/>
      <w:u w:val="single"/>
    </w:rPr>
  </w:style>
  <w:style w:type="paragraph" w:customStyle="1" w:styleId="Default">
    <w:name w:val="Default"/>
    <w:rsid w:val="000E3C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note text"/>
    <w:basedOn w:val="a"/>
    <w:link w:val="aa"/>
    <w:uiPriority w:val="99"/>
    <w:semiHidden/>
    <w:unhideWhenUsed/>
    <w:rsid w:val="000E63E1"/>
    <w:pPr>
      <w:spacing w:after="0" w:line="240" w:lineRule="auto"/>
    </w:pPr>
    <w:rPr>
      <w:sz w:val="20"/>
      <w:szCs w:val="20"/>
    </w:rPr>
  </w:style>
  <w:style w:type="character" w:customStyle="1" w:styleId="aa">
    <w:name w:val="Текст сноски Знак"/>
    <w:basedOn w:val="a0"/>
    <w:link w:val="a9"/>
    <w:uiPriority w:val="99"/>
    <w:semiHidden/>
    <w:rsid w:val="000E63E1"/>
    <w:rPr>
      <w:rFonts w:eastAsiaTheme="minorEastAsia" w:cs="Times New Roman"/>
      <w:sz w:val="20"/>
      <w:szCs w:val="20"/>
      <w:lang w:eastAsia="ru-RU"/>
    </w:rPr>
  </w:style>
  <w:style w:type="character" w:styleId="ab">
    <w:name w:val="footnote reference"/>
    <w:basedOn w:val="a0"/>
    <w:uiPriority w:val="99"/>
    <w:semiHidden/>
    <w:unhideWhenUsed/>
    <w:rsid w:val="000E63E1"/>
    <w:rPr>
      <w:vertAlign w:val="superscript"/>
    </w:rPr>
  </w:style>
  <w:style w:type="character" w:customStyle="1" w:styleId="path-separator">
    <w:name w:val="path-separator"/>
    <w:basedOn w:val="a0"/>
    <w:rsid w:val="00FB6893"/>
  </w:style>
  <w:style w:type="character" w:customStyle="1" w:styleId="ypks7kbdpwfgdykd3qb9">
    <w:name w:val="ypks7kbdpwfgdykd3qb9"/>
    <w:basedOn w:val="a0"/>
    <w:rsid w:val="0032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51938">
      <w:bodyDiv w:val="1"/>
      <w:marLeft w:val="0"/>
      <w:marRight w:val="0"/>
      <w:marTop w:val="0"/>
      <w:marBottom w:val="0"/>
      <w:divBdr>
        <w:top w:val="none" w:sz="0" w:space="0" w:color="auto"/>
        <w:left w:val="none" w:sz="0" w:space="0" w:color="auto"/>
        <w:bottom w:val="none" w:sz="0" w:space="0" w:color="auto"/>
        <w:right w:val="none" w:sz="0" w:space="0" w:color="auto"/>
      </w:divBdr>
    </w:div>
    <w:div w:id="377901283">
      <w:bodyDiv w:val="1"/>
      <w:marLeft w:val="0"/>
      <w:marRight w:val="0"/>
      <w:marTop w:val="0"/>
      <w:marBottom w:val="0"/>
      <w:divBdr>
        <w:top w:val="none" w:sz="0" w:space="0" w:color="auto"/>
        <w:left w:val="none" w:sz="0" w:space="0" w:color="auto"/>
        <w:bottom w:val="none" w:sz="0" w:space="0" w:color="auto"/>
        <w:right w:val="none" w:sz="0" w:space="0" w:color="auto"/>
      </w:divBdr>
    </w:div>
    <w:div w:id="437338763">
      <w:bodyDiv w:val="1"/>
      <w:marLeft w:val="0"/>
      <w:marRight w:val="0"/>
      <w:marTop w:val="0"/>
      <w:marBottom w:val="0"/>
      <w:divBdr>
        <w:top w:val="none" w:sz="0" w:space="0" w:color="auto"/>
        <w:left w:val="none" w:sz="0" w:space="0" w:color="auto"/>
        <w:bottom w:val="none" w:sz="0" w:space="0" w:color="auto"/>
        <w:right w:val="none" w:sz="0" w:space="0" w:color="auto"/>
      </w:divBdr>
      <w:divsChild>
        <w:div w:id="386076520">
          <w:marLeft w:val="0"/>
          <w:marRight w:val="0"/>
          <w:marTop w:val="0"/>
          <w:marBottom w:val="0"/>
          <w:divBdr>
            <w:top w:val="none" w:sz="0" w:space="0" w:color="auto"/>
            <w:left w:val="none" w:sz="0" w:space="0" w:color="auto"/>
            <w:bottom w:val="none" w:sz="0" w:space="0" w:color="auto"/>
            <w:right w:val="none" w:sz="0" w:space="0" w:color="auto"/>
          </w:divBdr>
          <w:divsChild>
            <w:div w:id="790780831">
              <w:marLeft w:val="0"/>
              <w:marRight w:val="0"/>
              <w:marTop w:val="0"/>
              <w:marBottom w:val="0"/>
              <w:divBdr>
                <w:top w:val="none" w:sz="0" w:space="0" w:color="auto"/>
                <w:left w:val="none" w:sz="0" w:space="0" w:color="auto"/>
                <w:bottom w:val="none" w:sz="0" w:space="0" w:color="auto"/>
                <w:right w:val="none" w:sz="0" w:space="0" w:color="auto"/>
              </w:divBdr>
              <w:divsChild>
                <w:div w:id="1060132258">
                  <w:marLeft w:val="0"/>
                  <w:marRight w:val="0"/>
                  <w:marTop w:val="0"/>
                  <w:marBottom w:val="0"/>
                  <w:divBdr>
                    <w:top w:val="none" w:sz="0" w:space="0" w:color="auto"/>
                    <w:left w:val="none" w:sz="0" w:space="0" w:color="auto"/>
                    <w:bottom w:val="none" w:sz="0" w:space="0" w:color="auto"/>
                    <w:right w:val="none" w:sz="0" w:space="0" w:color="auto"/>
                  </w:divBdr>
                  <w:divsChild>
                    <w:div w:id="1428110869">
                      <w:marLeft w:val="0"/>
                      <w:marRight w:val="0"/>
                      <w:marTop w:val="0"/>
                      <w:marBottom w:val="0"/>
                      <w:divBdr>
                        <w:top w:val="none" w:sz="0" w:space="0" w:color="auto"/>
                        <w:left w:val="none" w:sz="0" w:space="0" w:color="auto"/>
                        <w:bottom w:val="none" w:sz="0" w:space="0" w:color="auto"/>
                        <w:right w:val="none" w:sz="0" w:space="0" w:color="auto"/>
                      </w:divBdr>
                      <w:divsChild>
                        <w:div w:id="829641996">
                          <w:marLeft w:val="0"/>
                          <w:marRight w:val="0"/>
                          <w:marTop w:val="0"/>
                          <w:marBottom w:val="0"/>
                          <w:divBdr>
                            <w:top w:val="none" w:sz="0" w:space="0" w:color="auto"/>
                            <w:left w:val="none" w:sz="0" w:space="0" w:color="auto"/>
                            <w:bottom w:val="none" w:sz="0" w:space="0" w:color="auto"/>
                            <w:right w:val="none" w:sz="0" w:space="0" w:color="auto"/>
                          </w:divBdr>
                          <w:divsChild>
                            <w:div w:id="774640699">
                              <w:marLeft w:val="-240"/>
                              <w:marRight w:val="-240"/>
                              <w:marTop w:val="0"/>
                              <w:marBottom w:val="0"/>
                              <w:divBdr>
                                <w:top w:val="none" w:sz="0" w:space="0" w:color="auto"/>
                                <w:left w:val="none" w:sz="0" w:space="0" w:color="auto"/>
                                <w:bottom w:val="none" w:sz="0" w:space="0" w:color="auto"/>
                                <w:right w:val="none" w:sz="0" w:space="0" w:color="auto"/>
                              </w:divBdr>
                              <w:divsChild>
                                <w:div w:id="773287868">
                                  <w:marLeft w:val="0"/>
                                  <w:marRight w:val="0"/>
                                  <w:marTop w:val="0"/>
                                  <w:marBottom w:val="0"/>
                                  <w:divBdr>
                                    <w:top w:val="none" w:sz="0" w:space="0" w:color="auto"/>
                                    <w:left w:val="none" w:sz="0" w:space="0" w:color="auto"/>
                                    <w:bottom w:val="none" w:sz="0" w:space="0" w:color="auto"/>
                                    <w:right w:val="none" w:sz="0" w:space="0" w:color="auto"/>
                                  </w:divBdr>
                                  <w:divsChild>
                                    <w:div w:id="1325010773">
                                      <w:marLeft w:val="240"/>
                                      <w:marRight w:val="660"/>
                                      <w:marTop w:val="105"/>
                                      <w:marBottom w:val="600"/>
                                      <w:divBdr>
                                        <w:top w:val="none" w:sz="0" w:space="0" w:color="auto"/>
                                        <w:left w:val="none" w:sz="0" w:space="0" w:color="auto"/>
                                        <w:bottom w:val="none" w:sz="0" w:space="0" w:color="auto"/>
                                        <w:right w:val="none" w:sz="0" w:space="0" w:color="auto"/>
                                      </w:divBdr>
                                      <w:divsChild>
                                        <w:div w:id="116119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169187">
                  <w:marLeft w:val="0"/>
                  <w:marRight w:val="0"/>
                  <w:marTop w:val="0"/>
                  <w:marBottom w:val="0"/>
                  <w:divBdr>
                    <w:top w:val="none" w:sz="0" w:space="0" w:color="auto"/>
                    <w:left w:val="none" w:sz="0" w:space="0" w:color="auto"/>
                    <w:bottom w:val="none" w:sz="0" w:space="0" w:color="auto"/>
                    <w:right w:val="none" w:sz="0" w:space="0" w:color="auto"/>
                  </w:divBdr>
                  <w:divsChild>
                    <w:div w:id="48551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400588">
      <w:bodyDiv w:val="1"/>
      <w:marLeft w:val="0"/>
      <w:marRight w:val="0"/>
      <w:marTop w:val="0"/>
      <w:marBottom w:val="0"/>
      <w:divBdr>
        <w:top w:val="none" w:sz="0" w:space="0" w:color="auto"/>
        <w:left w:val="none" w:sz="0" w:space="0" w:color="auto"/>
        <w:bottom w:val="none" w:sz="0" w:space="0" w:color="auto"/>
        <w:right w:val="none" w:sz="0" w:space="0" w:color="auto"/>
      </w:divBdr>
    </w:div>
    <w:div w:id="505217108">
      <w:bodyDiv w:val="1"/>
      <w:marLeft w:val="0"/>
      <w:marRight w:val="0"/>
      <w:marTop w:val="0"/>
      <w:marBottom w:val="0"/>
      <w:divBdr>
        <w:top w:val="none" w:sz="0" w:space="0" w:color="auto"/>
        <w:left w:val="none" w:sz="0" w:space="0" w:color="auto"/>
        <w:bottom w:val="none" w:sz="0" w:space="0" w:color="auto"/>
        <w:right w:val="none" w:sz="0" w:space="0" w:color="auto"/>
      </w:divBdr>
      <w:divsChild>
        <w:div w:id="1931809711">
          <w:marLeft w:val="0"/>
          <w:marRight w:val="0"/>
          <w:marTop w:val="600"/>
          <w:marBottom w:val="600"/>
          <w:divBdr>
            <w:top w:val="none" w:sz="0" w:space="0" w:color="auto"/>
            <w:left w:val="none" w:sz="0" w:space="0" w:color="auto"/>
            <w:bottom w:val="none" w:sz="0" w:space="0" w:color="auto"/>
            <w:right w:val="none" w:sz="0" w:space="0" w:color="auto"/>
          </w:divBdr>
        </w:div>
      </w:divsChild>
    </w:div>
    <w:div w:id="714622466">
      <w:bodyDiv w:val="1"/>
      <w:marLeft w:val="0"/>
      <w:marRight w:val="0"/>
      <w:marTop w:val="0"/>
      <w:marBottom w:val="0"/>
      <w:divBdr>
        <w:top w:val="none" w:sz="0" w:space="0" w:color="auto"/>
        <w:left w:val="none" w:sz="0" w:space="0" w:color="auto"/>
        <w:bottom w:val="none" w:sz="0" w:space="0" w:color="auto"/>
        <w:right w:val="none" w:sz="0" w:space="0" w:color="auto"/>
      </w:divBdr>
    </w:div>
    <w:div w:id="982661948">
      <w:bodyDiv w:val="1"/>
      <w:marLeft w:val="0"/>
      <w:marRight w:val="0"/>
      <w:marTop w:val="0"/>
      <w:marBottom w:val="0"/>
      <w:divBdr>
        <w:top w:val="none" w:sz="0" w:space="0" w:color="auto"/>
        <w:left w:val="none" w:sz="0" w:space="0" w:color="auto"/>
        <w:bottom w:val="none" w:sz="0" w:space="0" w:color="auto"/>
        <w:right w:val="none" w:sz="0" w:space="0" w:color="auto"/>
      </w:divBdr>
      <w:divsChild>
        <w:div w:id="29377045">
          <w:marLeft w:val="0"/>
          <w:marRight w:val="0"/>
          <w:marTop w:val="0"/>
          <w:marBottom w:val="0"/>
          <w:divBdr>
            <w:top w:val="none" w:sz="0" w:space="0" w:color="auto"/>
            <w:left w:val="none" w:sz="0" w:space="0" w:color="auto"/>
            <w:bottom w:val="none" w:sz="0" w:space="0" w:color="auto"/>
            <w:right w:val="none" w:sz="0" w:space="0" w:color="auto"/>
          </w:divBdr>
          <w:divsChild>
            <w:div w:id="2019651231">
              <w:marLeft w:val="0"/>
              <w:marRight w:val="0"/>
              <w:marTop w:val="0"/>
              <w:marBottom w:val="0"/>
              <w:divBdr>
                <w:top w:val="none" w:sz="0" w:space="0" w:color="auto"/>
                <w:left w:val="none" w:sz="0" w:space="0" w:color="auto"/>
                <w:bottom w:val="none" w:sz="0" w:space="0" w:color="auto"/>
                <w:right w:val="none" w:sz="0" w:space="0" w:color="auto"/>
              </w:divBdr>
              <w:divsChild>
                <w:div w:id="572008513">
                  <w:marLeft w:val="0"/>
                  <w:marRight w:val="0"/>
                  <w:marTop w:val="0"/>
                  <w:marBottom w:val="0"/>
                  <w:divBdr>
                    <w:top w:val="none" w:sz="0" w:space="0" w:color="auto"/>
                    <w:left w:val="none" w:sz="0" w:space="0" w:color="auto"/>
                    <w:bottom w:val="none" w:sz="0" w:space="0" w:color="auto"/>
                    <w:right w:val="none" w:sz="0" w:space="0" w:color="auto"/>
                  </w:divBdr>
                  <w:divsChild>
                    <w:div w:id="1295795536">
                      <w:marLeft w:val="0"/>
                      <w:marRight w:val="0"/>
                      <w:marTop w:val="0"/>
                      <w:marBottom w:val="0"/>
                      <w:divBdr>
                        <w:top w:val="none" w:sz="0" w:space="0" w:color="auto"/>
                        <w:left w:val="none" w:sz="0" w:space="0" w:color="auto"/>
                        <w:bottom w:val="none" w:sz="0" w:space="0" w:color="auto"/>
                        <w:right w:val="none" w:sz="0" w:space="0" w:color="auto"/>
                      </w:divBdr>
                      <w:divsChild>
                        <w:div w:id="265895235">
                          <w:marLeft w:val="0"/>
                          <w:marRight w:val="0"/>
                          <w:marTop w:val="0"/>
                          <w:marBottom w:val="0"/>
                          <w:divBdr>
                            <w:top w:val="none" w:sz="0" w:space="0" w:color="auto"/>
                            <w:left w:val="none" w:sz="0" w:space="0" w:color="auto"/>
                            <w:bottom w:val="none" w:sz="0" w:space="0" w:color="auto"/>
                            <w:right w:val="none" w:sz="0" w:space="0" w:color="auto"/>
                          </w:divBdr>
                          <w:divsChild>
                            <w:div w:id="915821150">
                              <w:marLeft w:val="-240"/>
                              <w:marRight w:val="-240"/>
                              <w:marTop w:val="0"/>
                              <w:marBottom w:val="0"/>
                              <w:divBdr>
                                <w:top w:val="none" w:sz="0" w:space="0" w:color="auto"/>
                                <w:left w:val="none" w:sz="0" w:space="0" w:color="auto"/>
                                <w:bottom w:val="none" w:sz="0" w:space="0" w:color="auto"/>
                                <w:right w:val="none" w:sz="0" w:space="0" w:color="auto"/>
                              </w:divBdr>
                              <w:divsChild>
                                <w:div w:id="1158303824">
                                  <w:marLeft w:val="0"/>
                                  <w:marRight w:val="0"/>
                                  <w:marTop w:val="0"/>
                                  <w:marBottom w:val="0"/>
                                  <w:divBdr>
                                    <w:top w:val="none" w:sz="0" w:space="0" w:color="auto"/>
                                    <w:left w:val="none" w:sz="0" w:space="0" w:color="auto"/>
                                    <w:bottom w:val="none" w:sz="0" w:space="0" w:color="auto"/>
                                    <w:right w:val="none" w:sz="0" w:space="0" w:color="auto"/>
                                  </w:divBdr>
                                  <w:divsChild>
                                    <w:div w:id="409620094">
                                      <w:marLeft w:val="240"/>
                                      <w:marRight w:val="660"/>
                                      <w:marTop w:val="105"/>
                                      <w:marBottom w:val="600"/>
                                      <w:divBdr>
                                        <w:top w:val="none" w:sz="0" w:space="0" w:color="auto"/>
                                        <w:left w:val="none" w:sz="0" w:space="0" w:color="auto"/>
                                        <w:bottom w:val="none" w:sz="0" w:space="0" w:color="auto"/>
                                        <w:right w:val="none" w:sz="0" w:space="0" w:color="auto"/>
                                      </w:divBdr>
                                      <w:divsChild>
                                        <w:div w:id="173080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171424">
                  <w:marLeft w:val="0"/>
                  <w:marRight w:val="0"/>
                  <w:marTop w:val="0"/>
                  <w:marBottom w:val="0"/>
                  <w:divBdr>
                    <w:top w:val="none" w:sz="0" w:space="0" w:color="auto"/>
                    <w:left w:val="none" w:sz="0" w:space="0" w:color="auto"/>
                    <w:bottom w:val="none" w:sz="0" w:space="0" w:color="auto"/>
                    <w:right w:val="none" w:sz="0" w:space="0" w:color="auto"/>
                  </w:divBdr>
                  <w:divsChild>
                    <w:div w:id="48597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6807">
      <w:bodyDiv w:val="1"/>
      <w:marLeft w:val="0"/>
      <w:marRight w:val="0"/>
      <w:marTop w:val="0"/>
      <w:marBottom w:val="0"/>
      <w:divBdr>
        <w:top w:val="none" w:sz="0" w:space="0" w:color="auto"/>
        <w:left w:val="none" w:sz="0" w:space="0" w:color="auto"/>
        <w:bottom w:val="none" w:sz="0" w:space="0" w:color="auto"/>
        <w:right w:val="none" w:sz="0" w:space="0" w:color="auto"/>
      </w:divBdr>
    </w:div>
    <w:div w:id="1147432857">
      <w:bodyDiv w:val="1"/>
      <w:marLeft w:val="0"/>
      <w:marRight w:val="0"/>
      <w:marTop w:val="0"/>
      <w:marBottom w:val="0"/>
      <w:divBdr>
        <w:top w:val="none" w:sz="0" w:space="0" w:color="auto"/>
        <w:left w:val="none" w:sz="0" w:space="0" w:color="auto"/>
        <w:bottom w:val="none" w:sz="0" w:space="0" w:color="auto"/>
        <w:right w:val="none" w:sz="0" w:space="0" w:color="auto"/>
      </w:divBdr>
    </w:div>
    <w:div w:id="1580362955">
      <w:bodyDiv w:val="1"/>
      <w:marLeft w:val="0"/>
      <w:marRight w:val="0"/>
      <w:marTop w:val="0"/>
      <w:marBottom w:val="0"/>
      <w:divBdr>
        <w:top w:val="none" w:sz="0" w:space="0" w:color="auto"/>
        <w:left w:val="none" w:sz="0" w:space="0" w:color="auto"/>
        <w:bottom w:val="none" w:sz="0" w:space="0" w:color="auto"/>
        <w:right w:val="none" w:sz="0" w:space="0" w:color="auto"/>
      </w:divBdr>
    </w:div>
    <w:div w:id="1675453563">
      <w:bodyDiv w:val="1"/>
      <w:marLeft w:val="0"/>
      <w:marRight w:val="0"/>
      <w:marTop w:val="0"/>
      <w:marBottom w:val="0"/>
      <w:divBdr>
        <w:top w:val="none" w:sz="0" w:space="0" w:color="auto"/>
        <w:left w:val="none" w:sz="0" w:space="0" w:color="auto"/>
        <w:bottom w:val="none" w:sz="0" w:space="0" w:color="auto"/>
        <w:right w:val="none" w:sz="0" w:space="0" w:color="auto"/>
      </w:divBdr>
      <w:divsChild>
        <w:div w:id="1890650105">
          <w:marLeft w:val="0"/>
          <w:marRight w:val="0"/>
          <w:marTop w:val="0"/>
          <w:marBottom w:val="0"/>
          <w:divBdr>
            <w:top w:val="none" w:sz="0" w:space="0" w:color="auto"/>
            <w:left w:val="none" w:sz="0" w:space="0" w:color="auto"/>
            <w:bottom w:val="none" w:sz="0" w:space="0" w:color="auto"/>
            <w:right w:val="none" w:sz="0" w:space="0" w:color="auto"/>
          </w:divBdr>
          <w:divsChild>
            <w:div w:id="257640469">
              <w:marLeft w:val="0"/>
              <w:marRight w:val="0"/>
              <w:marTop w:val="0"/>
              <w:marBottom w:val="0"/>
              <w:divBdr>
                <w:top w:val="none" w:sz="0" w:space="0" w:color="auto"/>
                <w:left w:val="none" w:sz="0" w:space="0" w:color="auto"/>
                <w:bottom w:val="none" w:sz="0" w:space="0" w:color="auto"/>
                <w:right w:val="none" w:sz="0" w:space="0" w:color="auto"/>
              </w:divBdr>
              <w:divsChild>
                <w:div w:id="84500872">
                  <w:marLeft w:val="0"/>
                  <w:marRight w:val="0"/>
                  <w:marTop w:val="0"/>
                  <w:marBottom w:val="0"/>
                  <w:divBdr>
                    <w:top w:val="none" w:sz="0" w:space="0" w:color="auto"/>
                    <w:left w:val="none" w:sz="0" w:space="0" w:color="auto"/>
                    <w:bottom w:val="none" w:sz="0" w:space="0" w:color="auto"/>
                    <w:right w:val="none" w:sz="0" w:space="0" w:color="auto"/>
                  </w:divBdr>
                  <w:divsChild>
                    <w:div w:id="271204370">
                      <w:marLeft w:val="0"/>
                      <w:marRight w:val="0"/>
                      <w:marTop w:val="0"/>
                      <w:marBottom w:val="0"/>
                      <w:divBdr>
                        <w:top w:val="none" w:sz="0" w:space="0" w:color="auto"/>
                        <w:left w:val="none" w:sz="0" w:space="0" w:color="auto"/>
                        <w:bottom w:val="none" w:sz="0" w:space="0" w:color="auto"/>
                        <w:right w:val="none" w:sz="0" w:space="0" w:color="auto"/>
                      </w:divBdr>
                      <w:divsChild>
                        <w:div w:id="1754283002">
                          <w:marLeft w:val="0"/>
                          <w:marRight w:val="0"/>
                          <w:marTop w:val="0"/>
                          <w:marBottom w:val="0"/>
                          <w:divBdr>
                            <w:top w:val="none" w:sz="0" w:space="0" w:color="auto"/>
                            <w:left w:val="none" w:sz="0" w:space="0" w:color="auto"/>
                            <w:bottom w:val="none" w:sz="0" w:space="0" w:color="auto"/>
                            <w:right w:val="none" w:sz="0" w:space="0" w:color="auto"/>
                          </w:divBdr>
                          <w:divsChild>
                            <w:div w:id="490877571">
                              <w:marLeft w:val="-240"/>
                              <w:marRight w:val="-240"/>
                              <w:marTop w:val="0"/>
                              <w:marBottom w:val="0"/>
                              <w:divBdr>
                                <w:top w:val="none" w:sz="0" w:space="0" w:color="auto"/>
                                <w:left w:val="none" w:sz="0" w:space="0" w:color="auto"/>
                                <w:bottom w:val="none" w:sz="0" w:space="0" w:color="auto"/>
                                <w:right w:val="none" w:sz="0" w:space="0" w:color="auto"/>
                              </w:divBdr>
                              <w:divsChild>
                                <w:div w:id="192352912">
                                  <w:marLeft w:val="0"/>
                                  <w:marRight w:val="0"/>
                                  <w:marTop w:val="0"/>
                                  <w:marBottom w:val="0"/>
                                  <w:divBdr>
                                    <w:top w:val="none" w:sz="0" w:space="0" w:color="auto"/>
                                    <w:left w:val="none" w:sz="0" w:space="0" w:color="auto"/>
                                    <w:bottom w:val="none" w:sz="0" w:space="0" w:color="auto"/>
                                    <w:right w:val="none" w:sz="0" w:space="0" w:color="auto"/>
                                  </w:divBdr>
                                  <w:divsChild>
                                    <w:div w:id="1730609572">
                                      <w:marLeft w:val="240"/>
                                      <w:marRight w:val="660"/>
                                      <w:marTop w:val="105"/>
                                      <w:marBottom w:val="600"/>
                                      <w:divBdr>
                                        <w:top w:val="none" w:sz="0" w:space="0" w:color="auto"/>
                                        <w:left w:val="none" w:sz="0" w:space="0" w:color="auto"/>
                                        <w:bottom w:val="none" w:sz="0" w:space="0" w:color="auto"/>
                                        <w:right w:val="none" w:sz="0" w:space="0" w:color="auto"/>
                                      </w:divBdr>
                                      <w:divsChild>
                                        <w:div w:id="181182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6963308">
                  <w:marLeft w:val="0"/>
                  <w:marRight w:val="0"/>
                  <w:marTop w:val="0"/>
                  <w:marBottom w:val="0"/>
                  <w:divBdr>
                    <w:top w:val="none" w:sz="0" w:space="0" w:color="auto"/>
                    <w:left w:val="none" w:sz="0" w:space="0" w:color="auto"/>
                    <w:bottom w:val="none" w:sz="0" w:space="0" w:color="auto"/>
                    <w:right w:val="none" w:sz="0" w:space="0" w:color="auto"/>
                  </w:divBdr>
                  <w:divsChild>
                    <w:div w:id="107828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824366">
      <w:bodyDiv w:val="1"/>
      <w:marLeft w:val="0"/>
      <w:marRight w:val="0"/>
      <w:marTop w:val="0"/>
      <w:marBottom w:val="0"/>
      <w:divBdr>
        <w:top w:val="none" w:sz="0" w:space="0" w:color="auto"/>
        <w:left w:val="none" w:sz="0" w:space="0" w:color="auto"/>
        <w:bottom w:val="none" w:sz="0" w:space="0" w:color="auto"/>
        <w:right w:val="none" w:sz="0" w:space="0" w:color="auto"/>
      </w:divBdr>
      <w:divsChild>
        <w:div w:id="1434738284">
          <w:marLeft w:val="0"/>
          <w:marRight w:val="0"/>
          <w:marTop w:val="600"/>
          <w:marBottom w:val="600"/>
          <w:divBdr>
            <w:top w:val="none" w:sz="0" w:space="0" w:color="auto"/>
            <w:left w:val="none" w:sz="0" w:space="0" w:color="auto"/>
            <w:bottom w:val="none" w:sz="0" w:space="0" w:color="auto"/>
            <w:right w:val="none" w:sz="0" w:space="0" w:color="auto"/>
          </w:divBdr>
        </w:div>
      </w:divsChild>
    </w:div>
    <w:div w:id="1783063137">
      <w:bodyDiv w:val="1"/>
      <w:marLeft w:val="0"/>
      <w:marRight w:val="0"/>
      <w:marTop w:val="0"/>
      <w:marBottom w:val="0"/>
      <w:divBdr>
        <w:top w:val="none" w:sz="0" w:space="0" w:color="auto"/>
        <w:left w:val="none" w:sz="0" w:space="0" w:color="auto"/>
        <w:bottom w:val="none" w:sz="0" w:space="0" w:color="auto"/>
        <w:right w:val="none" w:sz="0" w:space="0" w:color="auto"/>
      </w:divBdr>
      <w:divsChild>
        <w:div w:id="1625229182">
          <w:marLeft w:val="105"/>
          <w:marRight w:val="0"/>
          <w:marTop w:val="60"/>
          <w:marBottom w:val="0"/>
          <w:divBdr>
            <w:top w:val="none" w:sz="0" w:space="0" w:color="auto"/>
            <w:left w:val="none" w:sz="0" w:space="0" w:color="auto"/>
            <w:bottom w:val="none" w:sz="0" w:space="0" w:color="auto"/>
            <w:right w:val="none" w:sz="0" w:space="0" w:color="auto"/>
          </w:divBdr>
        </w:div>
      </w:divsChild>
    </w:div>
    <w:div w:id="2063677681">
      <w:bodyDiv w:val="1"/>
      <w:marLeft w:val="0"/>
      <w:marRight w:val="0"/>
      <w:marTop w:val="0"/>
      <w:marBottom w:val="0"/>
      <w:divBdr>
        <w:top w:val="none" w:sz="0" w:space="0" w:color="auto"/>
        <w:left w:val="none" w:sz="0" w:space="0" w:color="auto"/>
        <w:bottom w:val="none" w:sz="0" w:space="0" w:color="auto"/>
        <w:right w:val="none" w:sz="0" w:space="0" w:color="auto"/>
      </w:divBdr>
    </w:div>
    <w:div w:id="2092265645">
      <w:bodyDiv w:val="1"/>
      <w:marLeft w:val="0"/>
      <w:marRight w:val="0"/>
      <w:marTop w:val="0"/>
      <w:marBottom w:val="0"/>
      <w:divBdr>
        <w:top w:val="none" w:sz="0" w:space="0" w:color="auto"/>
        <w:left w:val="none" w:sz="0" w:space="0" w:color="auto"/>
        <w:bottom w:val="none" w:sz="0" w:space="0" w:color="auto"/>
        <w:right w:val="none" w:sz="0" w:space="0" w:color="auto"/>
      </w:divBdr>
    </w:div>
    <w:div w:id="213833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6113E-E488-4116-8CDE-B9853A90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1865</Words>
  <Characters>10633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ольга</cp:lastModifiedBy>
  <cp:revision>2</cp:revision>
  <dcterms:created xsi:type="dcterms:W3CDTF">2026-05-20T13:15:00Z</dcterms:created>
  <dcterms:modified xsi:type="dcterms:W3CDTF">2026-05-20T13:15:00Z</dcterms:modified>
</cp:coreProperties>
</file>