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B0ABA6" w14:textId="77777777" w:rsidR="00DA62B5" w:rsidRDefault="00DA62B5" w:rsidP="00DA62B5">
      <w:pPr>
        <w:spacing w:line="360" w:lineRule="auto"/>
        <w:ind w:firstLine="709"/>
        <w:jc w:val="center"/>
        <w:rPr>
          <w:sz w:val="28"/>
          <w:szCs w:val="28"/>
        </w:rPr>
      </w:pPr>
      <w:r w:rsidRPr="003E1399">
        <w:rPr>
          <w:sz w:val="28"/>
          <w:szCs w:val="28"/>
        </w:rPr>
        <w:t>СДЕЛКИ «СЛИЯНИЯ И ПОГЛОЩЕНИЯ» В РОССИЙСКОЙ И ЗАРУБЕЖНОЙ ПРАКТИКЕ: ПРАВОВЫЕ АСПЕКТЫ</w:t>
      </w:r>
    </w:p>
    <w:p w14:paraId="2730D062" w14:textId="77777777" w:rsidR="00DA62B5" w:rsidRPr="003E1399" w:rsidRDefault="00DA62B5" w:rsidP="00DA62B5">
      <w:pPr>
        <w:spacing w:line="360" w:lineRule="auto"/>
        <w:ind w:firstLine="709"/>
        <w:jc w:val="center"/>
        <w:rPr>
          <w:sz w:val="28"/>
          <w:szCs w:val="28"/>
        </w:rPr>
      </w:pPr>
    </w:p>
    <w:p w14:paraId="16B5E463" w14:textId="77777777" w:rsidR="00DA62B5" w:rsidRPr="003E1399" w:rsidRDefault="00DA62B5" w:rsidP="00DA62B5">
      <w:pPr>
        <w:spacing w:line="360" w:lineRule="auto"/>
        <w:ind w:firstLine="709"/>
        <w:jc w:val="both"/>
        <w:rPr>
          <w:sz w:val="28"/>
          <w:szCs w:val="28"/>
        </w:rPr>
      </w:pPr>
      <w:r w:rsidRPr="003E1399">
        <w:rPr>
          <w:sz w:val="28"/>
          <w:szCs w:val="28"/>
        </w:rPr>
        <w:t>Сделки по слияниям и поглощениям (</w:t>
      </w:r>
      <w:proofErr w:type="spellStart"/>
      <w:r w:rsidRPr="003E1399">
        <w:rPr>
          <w:sz w:val="28"/>
          <w:szCs w:val="28"/>
        </w:rPr>
        <w:t>Mergers</w:t>
      </w:r>
      <w:proofErr w:type="spellEnd"/>
      <w:r w:rsidRPr="003E1399">
        <w:rPr>
          <w:sz w:val="28"/>
          <w:szCs w:val="28"/>
        </w:rPr>
        <w:t xml:space="preserve"> </w:t>
      </w:r>
      <w:proofErr w:type="spellStart"/>
      <w:r w:rsidRPr="003E1399">
        <w:rPr>
          <w:sz w:val="28"/>
          <w:szCs w:val="28"/>
        </w:rPr>
        <w:t>and</w:t>
      </w:r>
      <w:proofErr w:type="spellEnd"/>
      <w:r w:rsidRPr="003E1399">
        <w:rPr>
          <w:sz w:val="28"/>
          <w:szCs w:val="28"/>
        </w:rPr>
        <w:t xml:space="preserve"> </w:t>
      </w:r>
      <w:proofErr w:type="spellStart"/>
      <w:r w:rsidRPr="003E1399">
        <w:rPr>
          <w:sz w:val="28"/>
          <w:szCs w:val="28"/>
        </w:rPr>
        <w:t>Acquisitions</w:t>
      </w:r>
      <w:proofErr w:type="spellEnd"/>
      <w:r w:rsidRPr="003E1399">
        <w:rPr>
          <w:sz w:val="28"/>
          <w:szCs w:val="28"/>
        </w:rPr>
        <w:t>, M&amp;A) представляют собой один из наиболее сложных и многогранных сегментов корпоративного права. Они затрагивают не только вопросы реорганизации бизнеса, но и антимонопольное регулирование, защиту прав акционеров, вопросы налогообложения и трудового права. При этом правовое регулирование таких сделок существенно различается в зависимости от юрисдикции, что создаёт дополнительные вызовы для участников трансграничных сделок.</w:t>
      </w:r>
    </w:p>
    <w:p w14:paraId="5B075EB7" w14:textId="77777777" w:rsidR="00DA62B5" w:rsidRPr="003E1399" w:rsidRDefault="00DA62B5" w:rsidP="00DA62B5">
      <w:pPr>
        <w:spacing w:line="360" w:lineRule="auto"/>
        <w:ind w:firstLine="709"/>
        <w:jc w:val="both"/>
        <w:rPr>
          <w:sz w:val="28"/>
          <w:szCs w:val="28"/>
        </w:rPr>
      </w:pPr>
      <w:r w:rsidRPr="003E1399">
        <w:rPr>
          <w:sz w:val="28"/>
          <w:szCs w:val="28"/>
        </w:rPr>
        <w:t>Сущность и типология сделок M&amp;A</w:t>
      </w:r>
    </w:p>
    <w:p w14:paraId="44C96786" w14:textId="77777777" w:rsidR="00DA62B5" w:rsidRPr="003E1399" w:rsidRDefault="00DA62B5" w:rsidP="00DA62B5">
      <w:pPr>
        <w:spacing w:line="360" w:lineRule="auto"/>
        <w:ind w:firstLine="709"/>
        <w:jc w:val="both"/>
        <w:rPr>
          <w:sz w:val="28"/>
          <w:szCs w:val="28"/>
        </w:rPr>
      </w:pPr>
      <w:r w:rsidRPr="003E1399">
        <w:rPr>
          <w:sz w:val="28"/>
          <w:szCs w:val="28"/>
        </w:rPr>
        <w:t>В основе сделок M&amp;A лежит стремление компаний к консолидации ресурсов, расширению рыночной доли или оптимизации бизнес</w:t>
      </w:r>
      <w:r w:rsidRPr="003E1399">
        <w:rPr>
          <w:rFonts w:ascii="Cambria Math" w:hAnsi="Cambria Math" w:cs="Cambria Math"/>
          <w:sz w:val="28"/>
          <w:szCs w:val="28"/>
        </w:rPr>
        <w:t>‑</w:t>
      </w:r>
      <w:r w:rsidRPr="003E1399">
        <w:rPr>
          <w:sz w:val="28"/>
          <w:szCs w:val="28"/>
        </w:rPr>
        <w:t xml:space="preserve">процессов. Под слиянием понимается добровольное объединение двух или более компаний в новую юридическую сущность, при которой прежние юридические лица прекращают своё существование. Поглощение, напротив, предполагает приобретение контроля над компанией </w:t>
      </w:r>
      <w:r>
        <w:rPr>
          <w:sz w:val="28"/>
          <w:szCs w:val="28"/>
        </w:rPr>
        <w:t>-</w:t>
      </w:r>
      <w:r w:rsidRPr="003E1399">
        <w:rPr>
          <w:sz w:val="28"/>
          <w:szCs w:val="28"/>
        </w:rPr>
        <w:t xml:space="preserve"> обычно через покупку контрольного пакета акций или долей </w:t>
      </w:r>
      <w:r>
        <w:rPr>
          <w:sz w:val="28"/>
          <w:szCs w:val="28"/>
        </w:rPr>
        <w:t>-</w:t>
      </w:r>
      <w:r w:rsidRPr="003E1399">
        <w:rPr>
          <w:sz w:val="28"/>
          <w:szCs w:val="28"/>
        </w:rPr>
        <w:t xml:space="preserve"> без обязательного создания нового юридического лица.</w:t>
      </w:r>
    </w:p>
    <w:p w14:paraId="7D955FBC" w14:textId="77777777" w:rsidR="00DA62B5" w:rsidRPr="003E1399" w:rsidRDefault="00DA62B5" w:rsidP="00DA62B5">
      <w:pPr>
        <w:spacing w:line="360" w:lineRule="auto"/>
        <w:ind w:firstLine="709"/>
        <w:jc w:val="both"/>
        <w:rPr>
          <w:sz w:val="28"/>
          <w:szCs w:val="28"/>
        </w:rPr>
      </w:pPr>
      <w:r w:rsidRPr="003E1399">
        <w:rPr>
          <w:sz w:val="28"/>
          <w:szCs w:val="28"/>
        </w:rPr>
        <w:t>Классификация сделок M&amp;A проводится по нескольким критериям. По характеру взаимодействия компаний выделяют:</w:t>
      </w:r>
    </w:p>
    <w:p w14:paraId="6686AA41"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горизонтальные слияния (между конкурентами в одной отрасли);</w:t>
      </w:r>
    </w:p>
    <w:p w14:paraId="573E5C4C"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вертикальные (между компаниями, связанными цепочкой поставок);</w:t>
      </w:r>
    </w:p>
    <w:p w14:paraId="0E67C3E7"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параллельные (между предприятиями, производящими взаимосвязанные товары или услуги);</w:t>
      </w:r>
    </w:p>
    <w:p w14:paraId="3DD324CC"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конгломератные (между компаниями из несвязанных сфер деятельности).</w:t>
      </w:r>
    </w:p>
    <w:p w14:paraId="68378292" w14:textId="77777777" w:rsidR="00DA62B5" w:rsidRPr="003E1399" w:rsidRDefault="00DA62B5" w:rsidP="00DA62B5">
      <w:pPr>
        <w:spacing w:line="360" w:lineRule="auto"/>
        <w:ind w:firstLine="709"/>
        <w:jc w:val="both"/>
        <w:rPr>
          <w:sz w:val="28"/>
          <w:szCs w:val="28"/>
        </w:rPr>
      </w:pPr>
      <w:r w:rsidRPr="003E1399">
        <w:rPr>
          <w:sz w:val="28"/>
          <w:szCs w:val="28"/>
        </w:rPr>
        <w:t xml:space="preserve">По географическому признаку различают внутренние, экспортные, импортные и транснациональные сделки. По воле сторон — дружественные </w:t>
      </w:r>
      <w:r w:rsidRPr="003E1399">
        <w:rPr>
          <w:sz w:val="28"/>
          <w:szCs w:val="28"/>
        </w:rPr>
        <w:lastRenderedPageBreak/>
        <w:t>(согласованные) и враждебные (осуществляемые вопреки воле менеджмента целевой компании).</w:t>
      </w:r>
    </w:p>
    <w:p w14:paraId="3498FA6C" w14:textId="77777777" w:rsidR="00DA62B5" w:rsidRPr="003E1399" w:rsidRDefault="00DA62B5" w:rsidP="00DA62B5">
      <w:pPr>
        <w:spacing w:line="360" w:lineRule="auto"/>
        <w:ind w:firstLine="709"/>
        <w:jc w:val="both"/>
        <w:rPr>
          <w:sz w:val="28"/>
          <w:szCs w:val="28"/>
        </w:rPr>
      </w:pPr>
      <w:r w:rsidRPr="003E1399">
        <w:rPr>
          <w:sz w:val="28"/>
          <w:szCs w:val="28"/>
        </w:rPr>
        <w:t>Правовое регулирование в Российской Федерации</w:t>
      </w:r>
    </w:p>
    <w:p w14:paraId="6BCBE3D6" w14:textId="77777777" w:rsidR="00DA62B5" w:rsidRPr="003E1399" w:rsidRDefault="00DA62B5" w:rsidP="00DA62B5">
      <w:pPr>
        <w:spacing w:line="360" w:lineRule="auto"/>
        <w:ind w:firstLine="709"/>
        <w:jc w:val="both"/>
        <w:rPr>
          <w:sz w:val="28"/>
          <w:szCs w:val="28"/>
        </w:rPr>
      </w:pPr>
      <w:r w:rsidRPr="003E1399">
        <w:rPr>
          <w:sz w:val="28"/>
          <w:szCs w:val="28"/>
        </w:rPr>
        <w:t>В России правовая база сделок M&amp;A сформирована комплексом нормативных актов, каждый из которых регулирует отдельный аспект процесса. Основополагающую роль играет Гражданский кодекс РФ (статьи 57–60), устанавливающий общие правила реорганизации юридических лиц. Для акционерных обществ ключевым документом выступает Федеральный закон от 26.12.1995 № 208</w:t>
      </w:r>
      <w:r w:rsidRPr="003E1399">
        <w:rPr>
          <w:rFonts w:ascii="Cambria Math" w:hAnsi="Cambria Math" w:cs="Cambria Math"/>
          <w:sz w:val="28"/>
          <w:szCs w:val="28"/>
        </w:rPr>
        <w:t>‑</w:t>
      </w:r>
      <w:r w:rsidRPr="003E1399">
        <w:rPr>
          <w:sz w:val="28"/>
          <w:szCs w:val="28"/>
        </w:rPr>
        <w:t>ФЗ «Об акционерных обществах» (статьи 16–17), регламентирующий процедуры слияния и присоединения. Аналогичные нормы для обществ с ограниченной ответственностью содержатся в Федеральном законе от 08.02.1998 № 14</w:t>
      </w:r>
      <w:r w:rsidRPr="003E1399">
        <w:rPr>
          <w:rFonts w:ascii="Cambria Math" w:hAnsi="Cambria Math" w:cs="Cambria Math"/>
          <w:sz w:val="28"/>
          <w:szCs w:val="28"/>
        </w:rPr>
        <w:t>‑</w:t>
      </w:r>
      <w:r w:rsidRPr="003E1399">
        <w:rPr>
          <w:sz w:val="28"/>
          <w:szCs w:val="28"/>
        </w:rPr>
        <w:t>ФЗ «Об обществах с ограниченной ответственностью» (статьи 52–53).</w:t>
      </w:r>
    </w:p>
    <w:p w14:paraId="07F08A72" w14:textId="77777777" w:rsidR="00DA62B5" w:rsidRPr="003E1399" w:rsidRDefault="00DA62B5" w:rsidP="00DA62B5">
      <w:pPr>
        <w:spacing w:line="360" w:lineRule="auto"/>
        <w:ind w:firstLine="709"/>
        <w:jc w:val="both"/>
        <w:rPr>
          <w:sz w:val="28"/>
          <w:szCs w:val="28"/>
        </w:rPr>
      </w:pPr>
      <w:r w:rsidRPr="003E1399">
        <w:rPr>
          <w:sz w:val="28"/>
          <w:szCs w:val="28"/>
        </w:rPr>
        <w:t>Особое значение имеет Федеральный закон от 26.07.2006 № 135</w:t>
      </w:r>
      <w:r w:rsidRPr="003E1399">
        <w:rPr>
          <w:rFonts w:ascii="Cambria Math" w:hAnsi="Cambria Math" w:cs="Cambria Math"/>
          <w:sz w:val="28"/>
          <w:szCs w:val="28"/>
        </w:rPr>
        <w:t>‑</w:t>
      </w:r>
      <w:r w:rsidRPr="003E1399">
        <w:rPr>
          <w:sz w:val="28"/>
          <w:szCs w:val="28"/>
        </w:rPr>
        <w:t>ФЗ «О защите конкуренции», который вводит систему антимонопольного контроля. Сделки, превышающие установленные стоимостные пороги, подлежат обязательному согласованию с Федеральной антимонопольной службой (ФАС). При оценке таких сделок ФАС анализирует доли компаний на соответствующих рынках, возможное усиление доминирующего положения и влияние на конкурентную среду.</w:t>
      </w:r>
    </w:p>
    <w:p w14:paraId="31FBFB13" w14:textId="77777777" w:rsidR="00DA62B5" w:rsidRPr="003E1399" w:rsidRDefault="00DA62B5" w:rsidP="00DA62B5">
      <w:pPr>
        <w:spacing w:line="360" w:lineRule="auto"/>
        <w:ind w:firstLine="709"/>
        <w:jc w:val="both"/>
        <w:rPr>
          <w:sz w:val="28"/>
          <w:szCs w:val="28"/>
        </w:rPr>
      </w:pPr>
      <w:r w:rsidRPr="003E1399">
        <w:rPr>
          <w:sz w:val="28"/>
          <w:szCs w:val="28"/>
        </w:rPr>
        <w:t>Реализация сделок M&amp;A в России возможна несколькими способами:</w:t>
      </w:r>
    </w:p>
    <w:p w14:paraId="2ADBE291"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 xml:space="preserve">приобретение контроля через покупку акций или долей (включая механизмы </w:t>
      </w:r>
      <w:proofErr w:type="spellStart"/>
      <w:r w:rsidRPr="003E1399">
        <w:rPr>
          <w:sz w:val="28"/>
          <w:szCs w:val="28"/>
        </w:rPr>
        <w:t>cash</w:t>
      </w:r>
      <w:proofErr w:type="spellEnd"/>
      <w:r w:rsidRPr="003E1399">
        <w:rPr>
          <w:sz w:val="28"/>
          <w:szCs w:val="28"/>
        </w:rPr>
        <w:t xml:space="preserve"> </w:t>
      </w:r>
      <w:proofErr w:type="spellStart"/>
      <w:r w:rsidRPr="003E1399">
        <w:rPr>
          <w:sz w:val="28"/>
          <w:szCs w:val="28"/>
        </w:rPr>
        <w:t>out</w:t>
      </w:r>
      <w:proofErr w:type="spellEnd"/>
      <w:r w:rsidRPr="003E1399">
        <w:rPr>
          <w:sz w:val="28"/>
          <w:szCs w:val="28"/>
        </w:rPr>
        <w:t xml:space="preserve"> и </w:t>
      </w:r>
      <w:proofErr w:type="spellStart"/>
      <w:r w:rsidRPr="003E1399">
        <w:rPr>
          <w:sz w:val="28"/>
          <w:szCs w:val="28"/>
        </w:rPr>
        <w:t>cash</w:t>
      </w:r>
      <w:proofErr w:type="spellEnd"/>
      <w:r w:rsidRPr="003E1399">
        <w:rPr>
          <w:sz w:val="28"/>
          <w:szCs w:val="28"/>
        </w:rPr>
        <w:t xml:space="preserve"> </w:t>
      </w:r>
      <w:proofErr w:type="spellStart"/>
      <w:r w:rsidRPr="003E1399">
        <w:rPr>
          <w:sz w:val="28"/>
          <w:szCs w:val="28"/>
        </w:rPr>
        <w:t>in</w:t>
      </w:r>
      <w:proofErr w:type="spellEnd"/>
      <w:r w:rsidRPr="003E1399">
        <w:rPr>
          <w:sz w:val="28"/>
          <w:szCs w:val="28"/>
        </w:rPr>
        <w:t>);</w:t>
      </w:r>
    </w:p>
    <w:p w14:paraId="508FA646"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покупка активов с последующей ликвидацией юридического лица;</w:t>
      </w:r>
    </w:p>
    <w:p w14:paraId="31EA9DDA"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присоединение одной компании к другой с прекращением деятельности присоединённой организации;</w:t>
      </w:r>
    </w:p>
    <w:p w14:paraId="10B6868B"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слияние с образованием нового юридического лица.</w:t>
      </w:r>
    </w:p>
    <w:p w14:paraId="45544DE0" w14:textId="77777777" w:rsidR="00DA62B5" w:rsidRPr="003E1399" w:rsidRDefault="00DA62B5" w:rsidP="00DA62B5">
      <w:pPr>
        <w:spacing w:line="360" w:lineRule="auto"/>
        <w:ind w:firstLine="709"/>
        <w:jc w:val="both"/>
        <w:rPr>
          <w:sz w:val="28"/>
          <w:szCs w:val="28"/>
        </w:rPr>
      </w:pPr>
      <w:r w:rsidRPr="003E1399">
        <w:rPr>
          <w:sz w:val="28"/>
          <w:szCs w:val="28"/>
        </w:rPr>
        <w:t xml:space="preserve">Каждая из этих процедур требует строгого соблюдения корпоративных формальностей: принятия решений компетентными органами управления (совет директоров, общее собрание акционеров/участников), заключения </w:t>
      </w:r>
      <w:r w:rsidRPr="003E1399">
        <w:rPr>
          <w:sz w:val="28"/>
          <w:szCs w:val="28"/>
        </w:rPr>
        <w:lastRenderedPageBreak/>
        <w:t>договора о слиянии или присоединении с чётким указанием порядка конвертации акций или долей, уведомления кредиторов и публикации сведений о реорганизации. Завершающим этапом является государственная регистрация изменений в Едином государственном реестре юридических лиц (ЕГРЮЛ).</w:t>
      </w:r>
    </w:p>
    <w:p w14:paraId="4E3C59E0" w14:textId="77777777" w:rsidR="00DA62B5" w:rsidRPr="003E1399" w:rsidRDefault="00DA62B5" w:rsidP="00DA62B5">
      <w:pPr>
        <w:spacing w:line="360" w:lineRule="auto"/>
        <w:ind w:firstLine="709"/>
        <w:jc w:val="both"/>
        <w:rPr>
          <w:sz w:val="28"/>
          <w:szCs w:val="28"/>
        </w:rPr>
      </w:pPr>
      <w:r w:rsidRPr="003E1399">
        <w:rPr>
          <w:sz w:val="28"/>
          <w:szCs w:val="28"/>
        </w:rPr>
        <w:t>Зарубежный опыт: США и Европейский Союз</w:t>
      </w:r>
    </w:p>
    <w:p w14:paraId="7C50B57F" w14:textId="77777777" w:rsidR="00DA62B5" w:rsidRPr="003E1399" w:rsidRDefault="00DA62B5" w:rsidP="00DA62B5">
      <w:pPr>
        <w:spacing w:line="360" w:lineRule="auto"/>
        <w:ind w:firstLine="709"/>
        <w:jc w:val="both"/>
        <w:rPr>
          <w:sz w:val="28"/>
          <w:szCs w:val="28"/>
        </w:rPr>
      </w:pPr>
      <w:r w:rsidRPr="003E1399">
        <w:rPr>
          <w:sz w:val="28"/>
          <w:szCs w:val="28"/>
        </w:rPr>
        <w:t xml:space="preserve">В Соединённых Штатах Америки правовое регулирование сделок M&amp;A базируется на законодательстве отдельных штатов (прежде всего, </w:t>
      </w:r>
      <w:proofErr w:type="spellStart"/>
      <w:r w:rsidRPr="003E1399">
        <w:rPr>
          <w:sz w:val="28"/>
          <w:szCs w:val="28"/>
        </w:rPr>
        <w:t>Delaware</w:t>
      </w:r>
      <w:proofErr w:type="spellEnd"/>
      <w:r w:rsidRPr="003E1399">
        <w:rPr>
          <w:sz w:val="28"/>
          <w:szCs w:val="28"/>
        </w:rPr>
        <w:t xml:space="preserve"> General Corporation </w:t>
      </w:r>
      <w:proofErr w:type="spellStart"/>
      <w:r w:rsidRPr="003E1399">
        <w:rPr>
          <w:sz w:val="28"/>
          <w:szCs w:val="28"/>
        </w:rPr>
        <w:t>Law</w:t>
      </w:r>
      <w:proofErr w:type="spellEnd"/>
      <w:r w:rsidRPr="003E1399">
        <w:rPr>
          <w:sz w:val="28"/>
          <w:szCs w:val="28"/>
        </w:rPr>
        <w:t xml:space="preserve">) и федеральных актах, таких как Securities Exchange Act </w:t>
      </w:r>
      <w:proofErr w:type="spellStart"/>
      <w:r w:rsidRPr="003E1399">
        <w:rPr>
          <w:sz w:val="28"/>
          <w:szCs w:val="28"/>
        </w:rPr>
        <w:t>of</w:t>
      </w:r>
      <w:proofErr w:type="spellEnd"/>
      <w:r w:rsidRPr="003E1399">
        <w:rPr>
          <w:sz w:val="28"/>
          <w:szCs w:val="28"/>
        </w:rPr>
        <w:t xml:space="preserve"> 1934 и </w:t>
      </w:r>
      <w:proofErr w:type="spellStart"/>
      <w:r w:rsidRPr="003E1399">
        <w:rPr>
          <w:sz w:val="28"/>
          <w:szCs w:val="28"/>
        </w:rPr>
        <w:t>Hart</w:t>
      </w:r>
      <w:r w:rsidRPr="003E1399">
        <w:rPr>
          <w:rFonts w:ascii="Cambria Math" w:hAnsi="Cambria Math" w:cs="Cambria Math"/>
          <w:sz w:val="28"/>
          <w:szCs w:val="28"/>
        </w:rPr>
        <w:t>‑</w:t>
      </w:r>
      <w:r w:rsidRPr="003E1399">
        <w:rPr>
          <w:sz w:val="28"/>
          <w:szCs w:val="28"/>
        </w:rPr>
        <w:t>Scott</w:t>
      </w:r>
      <w:r w:rsidRPr="003E1399">
        <w:rPr>
          <w:rFonts w:ascii="Cambria Math" w:hAnsi="Cambria Math" w:cs="Cambria Math"/>
          <w:sz w:val="28"/>
          <w:szCs w:val="28"/>
        </w:rPr>
        <w:t>‑</w:t>
      </w:r>
      <w:r w:rsidRPr="003E1399">
        <w:rPr>
          <w:sz w:val="28"/>
          <w:szCs w:val="28"/>
        </w:rPr>
        <w:t>Rodino</w:t>
      </w:r>
      <w:proofErr w:type="spellEnd"/>
      <w:r w:rsidRPr="003E1399">
        <w:rPr>
          <w:sz w:val="28"/>
          <w:szCs w:val="28"/>
        </w:rPr>
        <w:t xml:space="preserve"> Act, регулирующий антимонопольный контроль. Американская практика отличается разнообразием форм сделок:</w:t>
      </w:r>
    </w:p>
    <w:p w14:paraId="3F4FC225" w14:textId="77777777" w:rsidR="00DA62B5" w:rsidRPr="003E1399" w:rsidRDefault="00DA62B5" w:rsidP="00DA62B5">
      <w:pPr>
        <w:spacing w:line="360" w:lineRule="auto"/>
        <w:ind w:firstLine="709"/>
        <w:jc w:val="both"/>
        <w:rPr>
          <w:sz w:val="28"/>
          <w:szCs w:val="28"/>
        </w:rPr>
      </w:pPr>
      <w:r>
        <w:rPr>
          <w:sz w:val="28"/>
          <w:szCs w:val="28"/>
        </w:rPr>
        <w:t xml:space="preserve">– </w:t>
      </w:r>
      <w:proofErr w:type="spellStart"/>
      <w:r w:rsidRPr="003E1399">
        <w:rPr>
          <w:sz w:val="28"/>
          <w:szCs w:val="28"/>
        </w:rPr>
        <w:t>statutory</w:t>
      </w:r>
      <w:proofErr w:type="spellEnd"/>
      <w:r w:rsidRPr="003E1399">
        <w:rPr>
          <w:sz w:val="28"/>
          <w:szCs w:val="28"/>
        </w:rPr>
        <w:t xml:space="preserve"> </w:t>
      </w:r>
      <w:proofErr w:type="spellStart"/>
      <w:r w:rsidRPr="003E1399">
        <w:rPr>
          <w:sz w:val="28"/>
          <w:szCs w:val="28"/>
        </w:rPr>
        <w:t>merger</w:t>
      </w:r>
      <w:proofErr w:type="spellEnd"/>
      <w:r w:rsidRPr="003E1399">
        <w:rPr>
          <w:sz w:val="28"/>
          <w:szCs w:val="28"/>
        </w:rPr>
        <w:t xml:space="preserve"> </w:t>
      </w:r>
      <w:r>
        <w:rPr>
          <w:sz w:val="28"/>
          <w:szCs w:val="28"/>
        </w:rPr>
        <w:t>-</w:t>
      </w:r>
      <w:r w:rsidRPr="003E1399">
        <w:rPr>
          <w:sz w:val="28"/>
          <w:szCs w:val="28"/>
        </w:rPr>
        <w:t xml:space="preserve"> классическое слияние с созданием новой компании;</w:t>
      </w:r>
    </w:p>
    <w:p w14:paraId="71D7ECC4" w14:textId="77777777" w:rsidR="00DA62B5" w:rsidRPr="003E1399" w:rsidRDefault="00DA62B5" w:rsidP="00DA62B5">
      <w:pPr>
        <w:spacing w:line="360" w:lineRule="auto"/>
        <w:ind w:firstLine="709"/>
        <w:jc w:val="both"/>
        <w:rPr>
          <w:sz w:val="28"/>
          <w:szCs w:val="28"/>
        </w:rPr>
      </w:pPr>
      <w:r>
        <w:rPr>
          <w:sz w:val="28"/>
          <w:szCs w:val="28"/>
        </w:rPr>
        <w:t xml:space="preserve">– </w:t>
      </w:r>
      <w:proofErr w:type="spellStart"/>
      <w:r w:rsidRPr="003E1399">
        <w:rPr>
          <w:sz w:val="28"/>
          <w:szCs w:val="28"/>
        </w:rPr>
        <w:t>share</w:t>
      </w:r>
      <w:proofErr w:type="spellEnd"/>
      <w:r w:rsidRPr="003E1399">
        <w:rPr>
          <w:sz w:val="28"/>
          <w:szCs w:val="28"/>
        </w:rPr>
        <w:t xml:space="preserve"> </w:t>
      </w:r>
      <w:proofErr w:type="spellStart"/>
      <w:r w:rsidRPr="003E1399">
        <w:rPr>
          <w:sz w:val="28"/>
          <w:szCs w:val="28"/>
        </w:rPr>
        <w:t>exchange</w:t>
      </w:r>
      <w:proofErr w:type="spellEnd"/>
      <w:r w:rsidRPr="003E1399">
        <w:rPr>
          <w:sz w:val="28"/>
          <w:szCs w:val="28"/>
        </w:rPr>
        <w:t xml:space="preserve"> </w:t>
      </w:r>
      <w:r>
        <w:rPr>
          <w:sz w:val="28"/>
          <w:szCs w:val="28"/>
        </w:rPr>
        <w:t>-</w:t>
      </w:r>
      <w:r w:rsidRPr="003E1399">
        <w:rPr>
          <w:sz w:val="28"/>
          <w:szCs w:val="28"/>
        </w:rPr>
        <w:t xml:space="preserve"> обмен акциями без ликвидации юридических лиц;</w:t>
      </w:r>
    </w:p>
    <w:p w14:paraId="03A3078E" w14:textId="77777777" w:rsidR="00DA62B5" w:rsidRPr="003E1399" w:rsidRDefault="00DA62B5" w:rsidP="00DA62B5">
      <w:pPr>
        <w:spacing w:line="360" w:lineRule="auto"/>
        <w:ind w:firstLine="709"/>
        <w:jc w:val="both"/>
        <w:rPr>
          <w:sz w:val="28"/>
          <w:szCs w:val="28"/>
        </w:rPr>
      </w:pPr>
      <w:r>
        <w:rPr>
          <w:sz w:val="28"/>
          <w:szCs w:val="28"/>
        </w:rPr>
        <w:t xml:space="preserve">– </w:t>
      </w:r>
      <w:proofErr w:type="spellStart"/>
      <w:r w:rsidRPr="003E1399">
        <w:rPr>
          <w:sz w:val="28"/>
          <w:szCs w:val="28"/>
        </w:rPr>
        <w:t>asset</w:t>
      </w:r>
      <w:proofErr w:type="spellEnd"/>
      <w:r w:rsidRPr="003E1399">
        <w:rPr>
          <w:sz w:val="28"/>
          <w:szCs w:val="28"/>
        </w:rPr>
        <w:t xml:space="preserve"> </w:t>
      </w:r>
      <w:proofErr w:type="spellStart"/>
      <w:r w:rsidRPr="003E1399">
        <w:rPr>
          <w:sz w:val="28"/>
          <w:szCs w:val="28"/>
        </w:rPr>
        <w:t>purchase</w:t>
      </w:r>
      <w:proofErr w:type="spellEnd"/>
      <w:r w:rsidRPr="003E1399">
        <w:rPr>
          <w:sz w:val="28"/>
          <w:szCs w:val="28"/>
        </w:rPr>
        <w:t xml:space="preserve"> </w:t>
      </w:r>
      <w:r>
        <w:rPr>
          <w:sz w:val="28"/>
          <w:szCs w:val="28"/>
        </w:rPr>
        <w:t>-</w:t>
      </w:r>
      <w:r w:rsidRPr="003E1399">
        <w:rPr>
          <w:sz w:val="28"/>
          <w:szCs w:val="28"/>
        </w:rPr>
        <w:t xml:space="preserve"> покупка активов, позволяющая отделить обязательства;</w:t>
      </w:r>
    </w:p>
    <w:p w14:paraId="206578E0" w14:textId="77777777" w:rsidR="00DA62B5" w:rsidRPr="003E1399" w:rsidRDefault="00DA62B5" w:rsidP="00DA62B5">
      <w:pPr>
        <w:spacing w:line="360" w:lineRule="auto"/>
        <w:ind w:firstLine="709"/>
        <w:jc w:val="both"/>
        <w:rPr>
          <w:sz w:val="28"/>
          <w:szCs w:val="28"/>
        </w:rPr>
      </w:pPr>
      <w:r>
        <w:rPr>
          <w:sz w:val="28"/>
          <w:szCs w:val="28"/>
        </w:rPr>
        <w:t xml:space="preserve">– </w:t>
      </w:r>
      <w:proofErr w:type="spellStart"/>
      <w:r w:rsidRPr="003E1399">
        <w:rPr>
          <w:sz w:val="28"/>
          <w:szCs w:val="28"/>
        </w:rPr>
        <w:t>tender</w:t>
      </w:r>
      <w:proofErr w:type="spellEnd"/>
      <w:r w:rsidRPr="003E1399">
        <w:rPr>
          <w:sz w:val="28"/>
          <w:szCs w:val="28"/>
        </w:rPr>
        <w:t xml:space="preserve"> </w:t>
      </w:r>
      <w:proofErr w:type="spellStart"/>
      <w:r w:rsidRPr="003E1399">
        <w:rPr>
          <w:sz w:val="28"/>
          <w:szCs w:val="28"/>
        </w:rPr>
        <w:t>offer</w:t>
      </w:r>
      <w:proofErr w:type="spellEnd"/>
      <w:r w:rsidRPr="003E1399">
        <w:rPr>
          <w:sz w:val="28"/>
          <w:szCs w:val="28"/>
        </w:rPr>
        <w:t xml:space="preserve"> </w:t>
      </w:r>
      <w:r>
        <w:rPr>
          <w:sz w:val="28"/>
          <w:szCs w:val="28"/>
        </w:rPr>
        <w:t>-</w:t>
      </w:r>
      <w:r w:rsidRPr="003E1399">
        <w:rPr>
          <w:sz w:val="28"/>
          <w:szCs w:val="28"/>
        </w:rPr>
        <w:t xml:space="preserve"> публичное предложение о выкупе акций, часто используемое при враждебных поглощениях.</w:t>
      </w:r>
    </w:p>
    <w:p w14:paraId="6FDAFC3E" w14:textId="77777777" w:rsidR="00DA62B5" w:rsidRPr="003E1399" w:rsidRDefault="00DA62B5" w:rsidP="00DA62B5">
      <w:pPr>
        <w:spacing w:line="360" w:lineRule="auto"/>
        <w:ind w:firstLine="709"/>
        <w:jc w:val="both"/>
        <w:rPr>
          <w:sz w:val="28"/>
          <w:szCs w:val="28"/>
        </w:rPr>
      </w:pPr>
      <w:r w:rsidRPr="003E1399">
        <w:rPr>
          <w:sz w:val="28"/>
          <w:szCs w:val="28"/>
        </w:rPr>
        <w:t>Для защиты от враждебных поглощений американские компании применяют такие механизмы, как «ядовитые пилюли» (</w:t>
      </w:r>
      <w:proofErr w:type="spellStart"/>
      <w:r w:rsidRPr="003E1399">
        <w:rPr>
          <w:sz w:val="28"/>
          <w:szCs w:val="28"/>
        </w:rPr>
        <w:t>poison</w:t>
      </w:r>
      <w:proofErr w:type="spellEnd"/>
      <w:r w:rsidRPr="003E1399">
        <w:rPr>
          <w:sz w:val="28"/>
          <w:szCs w:val="28"/>
        </w:rPr>
        <w:t xml:space="preserve"> </w:t>
      </w:r>
      <w:proofErr w:type="spellStart"/>
      <w:r w:rsidRPr="003E1399">
        <w:rPr>
          <w:sz w:val="28"/>
          <w:szCs w:val="28"/>
        </w:rPr>
        <w:t>pills</w:t>
      </w:r>
      <w:proofErr w:type="spellEnd"/>
      <w:r w:rsidRPr="003E1399">
        <w:rPr>
          <w:sz w:val="28"/>
          <w:szCs w:val="28"/>
        </w:rPr>
        <w:t>), привлечение «белых рыцарей» (</w:t>
      </w:r>
      <w:proofErr w:type="spellStart"/>
      <w:r w:rsidRPr="003E1399">
        <w:rPr>
          <w:sz w:val="28"/>
          <w:szCs w:val="28"/>
        </w:rPr>
        <w:t>white</w:t>
      </w:r>
      <w:proofErr w:type="spellEnd"/>
      <w:r w:rsidRPr="003E1399">
        <w:rPr>
          <w:sz w:val="28"/>
          <w:szCs w:val="28"/>
        </w:rPr>
        <w:t xml:space="preserve"> </w:t>
      </w:r>
      <w:proofErr w:type="spellStart"/>
      <w:r w:rsidRPr="003E1399">
        <w:rPr>
          <w:sz w:val="28"/>
          <w:szCs w:val="28"/>
        </w:rPr>
        <w:t>knights</w:t>
      </w:r>
      <w:proofErr w:type="spellEnd"/>
      <w:r w:rsidRPr="003E1399">
        <w:rPr>
          <w:sz w:val="28"/>
          <w:szCs w:val="28"/>
        </w:rPr>
        <w:t>) и судебные иски.</w:t>
      </w:r>
    </w:p>
    <w:p w14:paraId="3F0BD2AE" w14:textId="77777777" w:rsidR="00DA62B5" w:rsidRPr="003E1399" w:rsidRDefault="00DA62B5" w:rsidP="00DA62B5">
      <w:pPr>
        <w:spacing w:line="360" w:lineRule="auto"/>
        <w:ind w:firstLine="709"/>
        <w:jc w:val="both"/>
        <w:rPr>
          <w:sz w:val="28"/>
          <w:szCs w:val="28"/>
        </w:rPr>
      </w:pPr>
      <w:r w:rsidRPr="003E1399">
        <w:rPr>
          <w:sz w:val="28"/>
          <w:szCs w:val="28"/>
        </w:rPr>
        <w:t xml:space="preserve">В Европейском Союзе правовая основа сделок M&amp;A определяется директивами ЕС, в частности, </w:t>
      </w:r>
      <w:proofErr w:type="spellStart"/>
      <w:r w:rsidRPr="003E1399">
        <w:rPr>
          <w:sz w:val="28"/>
          <w:szCs w:val="28"/>
        </w:rPr>
        <w:t>Directive</w:t>
      </w:r>
      <w:proofErr w:type="spellEnd"/>
      <w:r w:rsidRPr="003E1399">
        <w:rPr>
          <w:sz w:val="28"/>
          <w:szCs w:val="28"/>
        </w:rPr>
        <w:t xml:space="preserve"> 2017/1132 о слияниях акционерных обществ. Антимонопольный контроль осуществляется Европейской комиссией в соответствии с </w:t>
      </w:r>
      <w:proofErr w:type="spellStart"/>
      <w:r w:rsidRPr="003E1399">
        <w:rPr>
          <w:sz w:val="28"/>
          <w:szCs w:val="28"/>
        </w:rPr>
        <w:t>Regulation</w:t>
      </w:r>
      <w:proofErr w:type="spellEnd"/>
      <w:r w:rsidRPr="003E1399">
        <w:rPr>
          <w:sz w:val="28"/>
          <w:szCs w:val="28"/>
        </w:rPr>
        <w:t xml:space="preserve"> 139/2004. При этом национальные законодательства стран</w:t>
      </w:r>
      <w:r w:rsidRPr="003E1399">
        <w:rPr>
          <w:rFonts w:ascii="Cambria Math" w:hAnsi="Cambria Math" w:cs="Cambria Math"/>
          <w:sz w:val="28"/>
          <w:szCs w:val="28"/>
        </w:rPr>
        <w:t>‑</w:t>
      </w:r>
      <w:r w:rsidRPr="003E1399">
        <w:rPr>
          <w:sz w:val="28"/>
          <w:szCs w:val="28"/>
        </w:rPr>
        <w:t>членов ЕС вносят свои особенности:</w:t>
      </w:r>
    </w:p>
    <w:p w14:paraId="439E364D"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в Германии строго регламентированы процедуры информирования и согласования с трудовыми советами (</w:t>
      </w:r>
      <w:proofErr w:type="spellStart"/>
      <w:r w:rsidRPr="003E1399">
        <w:rPr>
          <w:sz w:val="28"/>
          <w:szCs w:val="28"/>
        </w:rPr>
        <w:t>Betriebsrat</w:t>
      </w:r>
      <w:proofErr w:type="spellEnd"/>
      <w:r w:rsidRPr="003E1399">
        <w:rPr>
          <w:sz w:val="28"/>
          <w:szCs w:val="28"/>
        </w:rPr>
        <w:t>);</w:t>
      </w:r>
    </w:p>
    <w:p w14:paraId="279600B1"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во Франции обязательным является участие независимых экспертов для оценки справедливой цены акций.</w:t>
      </w:r>
    </w:p>
    <w:p w14:paraId="40A53C2D" w14:textId="77777777" w:rsidR="00DA62B5" w:rsidRPr="003E1399" w:rsidRDefault="00DA62B5" w:rsidP="00DA62B5">
      <w:pPr>
        <w:spacing w:line="360" w:lineRule="auto"/>
        <w:ind w:firstLine="709"/>
        <w:jc w:val="both"/>
        <w:rPr>
          <w:sz w:val="28"/>
          <w:szCs w:val="28"/>
        </w:rPr>
      </w:pPr>
      <w:r w:rsidRPr="003E1399">
        <w:rPr>
          <w:sz w:val="28"/>
          <w:szCs w:val="28"/>
        </w:rPr>
        <w:t>Сравнительный анализ: Россия и зарубежная практика</w:t>
      </w:r>
    </w:p>
    <w:p w14:paraId="1E0254D4" w14:textId="77777777" w:rsidR="00DA62B5" w:rsidRPr="003E1399" w:rsidRDefault="00DA62B5" w:rsidP="00DA62B5">
      <w:pPr>
        <w:spacing w:line="360" w:lineRule="auto"/>
        <w:ind w:firstLine="709"/>
        <w:jc w:val="both"/>
        <w:rPr>
          <w:sz w:val="28"/>
          <w:szCs w:val="28"/>
        </w:rPr>
      </w:pPr>
      <w:r w:rsidRPr="003E1399">
        <w:rPr>
          <w:sz w:val="28"/>
          <w:szCs w:val="28"/>
        </w:rPr>
        <w:t xml:space="preserve">Несмотря на различия в деталях, российская и зарубежная практики </w:t>
      </w:r>
      <w:r w:rsidRPr="003E1399">
        <w:rPr>
          <w:sz w:val="28"/>
          <w:szCs w:val="28"/>
        </w:rPr>
        <w:lastRenderedPageBreak/>
        <w:t>сделок M&amp;A имеют ряд общих черт. В обеих системах требуется корпоративное одобрение сделок, раскрытие информации и прохождение антимонопольного контроля для крупных сделок. Защита прав миноритарных акционеров также является общим принципом: во всех юрисдикциях предусмотрены механизмы выкупа акций по справедливой цене.</w:t>
      </w:r>
    </w:p>
    <w:p w14:paraId="5A7D119F" w14:textId="77777777" w:rsidR="00DA62B5" w:rsidRPr="003E1399" w:rsidRDefault="00DA62B5" w:rsidP="00DA62B5">
      <w:pPr>
        <w:spacing w:line="360" w:lineRule="auto"/>
        <w:ind w:firstLine="709"/>
        <w:jc w:val="both"/>
        <w:rPr>
          <w:sz w:val="28"/>
          <w:szCs w:val="28"/>
        </w:rPr>
      </w:pPr>
      <w:r w:rsidRPr="003E1399">
        <w:rPr>
          <w:sz w:val="28"/>
          <w:szCs w:val="28"/>
        </w:rPr>
        <w:t>Однако существуют и существенные различия. В России заметно сильнее выражена роль государственного регулирования, что проявляется в более жёстких требованиях ФАС и Центрального банка РФ, а также в повышенных административных барьерах. В западных юрисдикциях шире распространены инструменты враждебных поглощений и защитные механизмы, а рынки корпоративного контроля развиты лучше.</w:t>
      </w:r>
    </w:p>
    <w:p w14:paraId="0B19DAFB" w14:textId="77777777" w:rsidR="00DA62B5" w:rsidRPr="003E1399" w:rsidRDefault="00DA62B5" w:rsidP="00DA62B5">
      <w:pPr>
        <w:spacing w:line="360" w:lineRule="auto"/>
        <w:ind w:firstLine="709"/>
        <w:jc w:val="both"/>
        <w:rPr>
          <w:sz w:val="28"/>
          <w:szCs w:val="28"/>
        </w:rPr>
      </w:pPr>
      <w:r w:rsidRPr="003E1399">
        <w:rPr>
          <w:sz w:val="28"/>
          <w:szCs w:val="28"/>
        </w:rPr>
        <w:t>В Европейском Союзе особое внимание уделяется социальным аспектам сделок, включая консультации с профсоюзами и учёт интересов работников. В США, напротив, преобладает гибкость договорных конструкций и сильная судебная защита сторон, что позволяет разрешать конфликты в рамках правовой системы.</w:t>
      </w:r>
    </w:p>
    <w:p w14:paraId="79F276F8" w14:textId="77777777" w:rsidR="00DA62B5" w:rsidRPr="003E1399" w:rsidRDefault="00DA62B5" w:rsidP="00DA62B5">
      <w:pPr>
        <w:spacing w:line="360" w:lineRule="auto"/>
        <w:ind w:firstLine="709"/>
        <w:jc w:val="both"/>
        <w:rPr>
          <w:sz w:val="28"/>
          <w:szCs w:val="28"/>
        </w:rPr>
      </w:pPr>
      <w:r w:rsidRPr="003E1399">
        <w:rPr>
          <w:sz w:val="28"/>
          <w:szCs w:val="28"/>
        </w:rPr>
        <w:t>Правовые риски и спорные вопросы</w:t>
      </w:r>
    </w:p>
    <w:p w14:paraId="65CAF33D" w14:textId="77777777" w:rsidR="00DA62B5" w:rsidRPr="003E1399" w:rsidRDefault="00DA62B5" w:rsidP="00DA62B5">
      <w:pPr>
        <w:spacing w:line="360" w:lineRule="auto"/>
        <w:ind w:firstLine="709"/>
        <w:jc w:val="both"/>
        <w:rPr>
          <w:sz w:val="28"/>
          <w:szCs w:val="28"/>
        </w:rPr>
      </w:pPr>
      <w:r w:rsidRPr="003E1399">
        <w:rPr>
          <w:sz w:val="28"/>
          <w:szCs w:val="28"/>
        </w:rPr>
        <w:t>В российской практике наиболее распространёнными правовыми рисками являются:</w:t>
      </w:r>
    </w:p>
    <w:p w14:paraId="35E261C6"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оспаривание решений о реорганизации из</w:t>
      </w:r>
      <w:r w:rsidRPr="003E1399">
        <w:rPr>
          <w:rFonts w:ascii="Cambria Math" w:hAnsi="Cambria Math" w:cs="Cambria Math"/>
          <w:sz w:val="28"/>
          <w:szCs w:val="28"/>
        </w:rPr>
        <w:t>‑</w:t>
      </w:r>
      <w:proofErr w:type="gramStart"/>
      <w:r w:rsidRPr="003E1399">
        <w:rPr>
          <w:sz w:val="28"/>
          <w:szCs w:val="28"/>
        </w:rPr>
        <w:t>за несоблюдения</w:t>
      </w:r>
      <w:proofErr w:type="gramEnd"/>
      <w:r w:rsidRPr="003E1399">
        <w:rPr>
          <w:sz w:val="28"/>
          <w:szCs w:val="28"/>
        </w:rPr>
        <w:t xml:space="preserve"> корпоративных процедур или отсутствия необходимого одобрения;</w:t>
      </w:r>
    </w:p>
    <w:p w14:paraId="48CDB103"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споры о справедливой стоимости выкупаемых акций или долей;</w:t>
      </w:r>
    </w:p>
    <w:p w14:paraId="160C8FE4"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претензии ФАС в связи с недооценкой конкурентного эффекта сделки;</w:t>
      </w:r>
    </w:p>
    <w:p w14:paraId="7AF8E276"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проблемы с передачей лицензий и разрешений при покупке активов.</w:t>
      </w:r>
    </w:p>
    <w:p w14:paraId="3914B165" w14:textId="77777777" w:rsidR="00DA62B5" w:rsidRPr="003E1399" w:rsidRDefault="00DA62B5" w:rsidP="00DA62B5">
      <w:pPr>
        <w:spacing w:line="360" w:lineRule="auto"/>
        <w:ind w:firstLine="709"/>
        <w:jc w:val="both"/>
        <w:rPr>
          <w:sz w:val="28"/>
          <w:szCs w:val="28"/>
        </w:rPr>
      </w:pPr>
      <w:r w:rsidRPr="003E1399">
        <w:rPr>
          <w:sz w:val="28"/>
          <w:szCs w:val="28"/>
        </w:rPr>
        <w:t>За рубежом ключевые риски связаны с:</w:t>
      </w:r>
    </w:p>
    <w:p w14:paraId="69E63227"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исками акционеров о нарушении фидуциарных обязанностей директоров;</w:t>
      </w:r>
    </w:p>
    <w:p w14:paraId="3F1EE06E"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обвинениями в манипуляциях рынком при проведении тендерных предложений;</w:t>
      </w:r>
    </w:p>
    <w:p w14:paraId="1E94A2C5"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конфликтами из</w:t>
      </w:r>
      <w:r w:rsidRPr="003E1399">
        <w:rPr>
          <w:rFonts w:ascii="Cambria Math" w:hAnsi="Cambria Math" w:cs="Cambria Math"/>
          <w:sz w:val="28"/>
          <w:szCs w:val="28"/>
        </w:rPr>
        <w:t>‑</w:t>
      </w:r>
      <w:proofErr w:type="gramStart"/>
      <w:r w:rsidRPr="003E1399">
        <w:rPr>
          <w:sz w:val="28"/>
          <w:szCs w:val="28"/>
        </w:rPr>
        <w:t>за различий</w:t>
      </w:r>
      <w:proofErr w:type="gramEnd"/>
      <w:r w:rsidRPr="003E1399">
        <w:rPr>
          <w:sz w:val="28"/>
          <w:szCs w:val="28"/>
        </w:rPr>
        <w:t xml:space="preserve"> в трудовом и налоговом законодательстве </w:t>
      </w:r>
      <w:r w:rsidRPr="003E1399">
        <w:rPr>
          <w:sz w:val="28"/>
          <w:szCs w:val="28"/>
        </w:rPr>
        <w:lastRenderedPageBreak/>
        <w:t>стран.</w:t>
      </w:r>
    </w:p>
    <w:p w14:paraId="47352BFE" w14:textId="77777777" w:rsidR="00DA62B5" w:rsidRPr="003E1399" w:rsidRDefault="00DA62B5" w:rsidP="00DA62B5">
      <w:pPr>
        <w:spacing w:line="360" w:lineRule="auto"/>
        <w:ind w:firstLine="709"/>
        <w:jc w:val="both"/>
        <w:rPr>
          <w:sz w:val="28"/>
          <w:szCs w:val="28"/>
        </w:rPr>
      </w:pPr>
      <w:r w:rsidRPr="003E1399">
        <w:rPr>
          <w:sz w:val="28"/>
          <w:szCs w:val="28"/>
        </w:rPr>
        <w:t>Примеры из практики</w:t>
      </w:r>
    </w:p>
    <w:p w14:paraId="5DE5939A" w14:textId="77777777" w:rsidR="00DA62B5" w:rsidRPr="003E1399" w:rsidRDefault="00DA62B5" w:rsidP="00DA62B5">
      <w:pPr>
        <w:spacing w:line="360" w:lineRule="auto"/>
        <w:ind w:firstLine="709"/>
        <w:jc w:val="both"/>
        <w:rPr>
          <w:sz w:val="28"/>
          <w:szCs w:val="28"/>
        </w:rPr>
      </w:pPr>
      <w:r w:rsidRPr="003E1399">
        <w:rPr>
          <w:sz w:val="28"/>
          <w:szCs w:val="28"/>
        </w:rPr>
        <w:t>В России показательными являются следующие сделки:</w:t>
      </w:r>
    </w:p>
    <w:p w14:paraId="4B5C5D1A" w14:textId="77777777" w:rsidR="00DA62B5" w:rsidRPr="003E1399" w:rsidRDefault="00DA62B5" w:rsidP="00DA62B5">
      <w:pPr>
        <w:spacing w:line="360" w:lineRule="auto"/>
        <w:ind w:firstLine="709"/>
        <w:jc w:val="both"/>
        <w:rPr>
          <w:sz w:val="28"/>
          <w:szCs w:val="28"/>
        </w:rPr>
      </w:pPr>
      <w:r w:rsidRPr="003E1399">
        <w:rPr>
          <w:sz w:val="28"/>
          <w:szCs w:val="28"/>
        </w:rPr>
        <w:t xml:space="preserve">X5 Retail Group и «Карусель» (2008): приобретение 100 % акций </w:t>
      </w:r>
      <w:proofErr w:type="spellStart"/>
      <w:r w:rsidRPr="003E1399">
        <w:rPr>
          <w:sz w:val="28"/>
          <w:szCs w:val="28"/>
        </w:rPr>
        <w:t>Formata</w:t>
      </w:r>
      <w:proofErr w:type="spellEnd"/>
      <w:r w:rsidRPr="003E1399">
        <w:rPr>
          <w:sz w:val="28"/>
          <w:szCs w:val="28"/>
        </w:rPr>
        <w:t xml:space="preserve"> Holding B.V. за $940 млн, включая бренд. Эта сделка продемонстрировала успешную интеграцию активов в рамках дружественного поглощения.</w:t>
      </w:r>
    </w:p>
    <w:p w14:paraId="316C8656" w14:textId="77777777" w:rsidR="00DA62B5" w:rsidRPr="003E1399" w:rsidRDefault="00DA62B5" w:rsidP="00DA62B5">
      <w:pPr>
        <w:spacing w:line="360" w:lineRule="auto"/>
        <w:ind w:firstLine="709"/>
        <w:jc w:val="both"/>
        <w:rPr>
          <w:sz w:val="28"/>
          <w:szCs w:val="28"/>
        </w:rPr>
      </w:pPr>
      <w:r w:rsidRPr="003E1399">
        <w:rPr>
          <w:sz w:val="28"/>
          <w:szCs w:val="28"/>
        </w:rPr>
        <w:t>«Лента» и «Билла Россия» (2021): покупка 161 магазина за €225 млн. Особенностью сделки стало внимание к сохранению рабочих мест и последующему ребрендингу.</w:t>
      </w:r>
    </w:p>
    <w:p w14:paraId="2B6A6D8E" w14:textId="77777777" w:rsidR="00DA62B5" w:rsidRPr="003E1399" w:rsidRDefault="00DA62B5" w:rsidP="00DA62B5">
      <w:pPr>
        <w:spacing w:line="360" w:lineRule="auto"/>
        <w:ind w:firstLine="709"/>
        <w:jc w:val="both"/>
        <w:rPr>
          <w:sz w:val="28"/>
          <w:szCs w:val="28"/>
        </w:rPr>
      </w:pPr>
      <w:r w:rsidRPr="003E1399">
        <w:rPr>
          <w:sz w:val="28"/>
          <w:szCs w:val="28"/>
        </w:rPr>
        <w:t>Natura Siberica (2021): спор о контроле после смерти основателя, который привёл к назначению доверительного управляющего. Этот случай иллюстрирует риски, связанные с наследственным переходом долей.</w:t>
      </w:r>
    </w:p>
    <w:p w14:paraId="2CF9B209" w14:textId="77777777" w:rsidR="00DA62B5" w:rsidRPr="003E1399" w:rsidRDefault="00DA62B5" w:rsidP="00DA62B5">
      <w:pPr>
        <w:spacing w:line="360" w:lineRule="auto"/>
        <w:ind w:firstLine="709"/>
        <w:jc w:val="both"/>
        <w:rPr>
          <w:sz w:val="28"/>
          <w:szCs w:val="28"/>
        </w:rPr>
      </w:pPr>
      <w:r w:rsidRPr="003E1399">
        <w:rPr>
          <w:sz w:val="28"/>
          <w:szCs w:val="28"/>
        </w:rPr>
        <w:t>Среди зарубежных примеров выделяются:</w:t>
      </w:r>
    </w:p>
    <w:p w14:paraId="022FC7C2" w14:textId="77777777" w:rsidR="00DA62B5" w:rsidRPr="003E1399" w:rsidRDefault="00DA62B5" w:rsidP="00DA62B5">
      <w:pPr>
        <w:spacing w:line="360" w:lineRule="auto"/>
        <w:ind w:firstLine="709"/>
        <w:jc w:val="both"/>
        <w:rPr>
          <w:sz w:val="28"/>
          <w:szCs w:val="28"/>
        </w:rPr>
      </w:pPr>
      <w:r w:rsidRPr="003E1399">
        <w:rPr>
          <w:sz w:val="28"/>
          <w:szCs w:val="28"/>
        </w:rPr>
        <w:t xml:space="preserve">Microsoft и </w:t>
      </w:r>
      <w:proofErr w:type="spellStart"/>
      <w:r w:rsidRPr="003E1399">
        <w:rPr>
          <w:sz w:val="28"/>
          <w:szCs w:val="28"/>
        </w:rPr>
        <w:t>Activision</w:t>
      </w:r>
      <w:proofErr w:type="spellEnd"/>
      <w:r w:rsidRPr="003E1399">
        <w:rPr>
          <w:sz w:val="28"/>
          <w:szCs w:val="28"/>
        </w:rPr>
        <w:t xml:space="preserve"> Blizzard (2022–2023): масштабное поглощение за $69 млрд, сопровождавшееся длительным антимонопольным контролем в ЕС и США. Сделка показала сложность регулирования глобальных M&amp;A</w:t>
      </w:r>
      <w:r w:rsidRPr="003E1399">
        <w:rPr>
          <w:rFonts w:ascii="Cambria Math" w:hAnsi="Cambria Math" w:cs="Cambria Math"/>
          <w:sz w:val="28"/>
          <w:szCs w:val="28"/>
        </w:rPr>
        <w:t>‑</w:t>
      </w:r>
      <w:r w:rsidRPr="003E1399">
        <w:rPr>
          <w:sz w:val="28"/>
          <w:szCs w:val="28"/>
        </w:rPr>
        <w:t>операций.</w:t>
      </w:r>
    </w:p>
    <w:p w14:paraId="7E0F11B3" w14:textId="77777777" w:rsidR="00DA62B5" w:rsidRPr="003E1399" w:rsidRDefault="00DA62B5" w:rsidP="00DA62B5">
      <w:pPr>
        <w:spacing w:line="360" w:lineRule="auto"/>
        <w:ind w:firstLine="709"/>
        <w:jc w:val="both"/>
        <w:rPr>
          <w:sz w:val="28"/>
          <w:szCs w:val="28"/>
        </w:rPr>
      </w:pPr>
      <w:r w:rsidRPr="003E1399">
        <w:rPr>
          <w:sz w:val="28"/>
          <w:szCs w:val="28"/>
        </w:rPr>
        <w:t xml:space="preserve">Deutsche </w:t>
      </w:r>
      <w:proofErr w:type="spellStart"/>
      <w:r w:rsidRPr="003E1399">
        <w:rPr>
          <w:sz w:val="28"/>
          <w:szCs w:val="28"/>
        </w:rPr>
        <w:t>Börse</w:t>
      </w:r>
      <w:proofErr w:type="spellEnd"/>
      <w:r w:rsidRPr="003E1399">
        <w:rPr>
          <w:sz w:val="28"/>
          <w:szCs w:val="28"/>
        </w:rPr>
        <w:t xml:space="preserve"> и London Stock Exchange (2017): попытка слияния была заблокирована Еврокомиссией из</w:t>
      </w:r>
      <w:r w:rsidRPr="003E1399">
        <w:rPr>
          <w:rFonts w:ascii="Cambria Math" w:hAnsi="Cambria Math" w:cs="Cambria Math"/>
          <w:sz w:val="28"/>
          <w:szCs w:val="28"/>
        </w:rPr>
        <w:t>‑</w:t>
      </w:r>
      <w:proofErr w:type="gramStart"/>
      <w:r w:rsidRPr="003E1399">
        <w:rPr>
          <w:sz w:val="28"/>
          <w:szCs w:val="28"/>
        </w:rPr>
        <w:t>за угроз</w:t>
      </w:r>
      <w:proofErr w:type="gramEnd"/>
      <w:r w:rsidRPr="003E1399">
        <w:rPr>
          <w:sz w:val="28"/>
          <w:szCs w:val="28"/>
        </w:rPr>
        <w:t xml:space="preserve"> конкуренции. Этот случай демонстрирует жёсткость антимонопольного регулирования в ЕС.</w:t>
      </w:r>
    </w:p>
    <w:p w14:paraId="2326F106" w14:textId="77777777" w:rsidR="00DA62B5" w:rsidRPr="003E1399" w:rsidRDefault="00DA62B5" w:rsidP="00DA62B5">
      <w:pPr>
        <w:spacing w:line="360" w:lineRule="auto"/>
        <w:ind w:firstLine="709"/>
        <w:jc w:val="both"/>
        <w:rPr>
          <w:sz w:val="28"/>
          <w:szCs w:val="28"/>
        </w:rPr>
      </w:pPr>
      <w:r w:rsidRPr="003E1399">
        <w:rPr>
          <w:sz w:val="28"/>
          <w:szCs w:val="28"/>
        </w:rPr>
        <w:t>Для минимизации правовых рисков при сделках M&amp;A рекомендуется:</w:t>
      </w:r>
    </w:p>
    <w:p w14:paraId="27F93A70" w14:textId="77777777" w:rsidR="00DA62B5" w:rsidRPr="003E1399" w:rsidRDefault="00DA62B5" w:rsidP="00DA62B5">
      <w:pPr>
        <w:spacing w:line="360" w:lineRule="auto"/>
        <w:ind w:firstLine="709"/>
        <w:jc w:val="both"/>
        <w:rPr>
          <w:sz w:val="28"/>
          <w:szCs w:val="28"/>
        </w:rPr>
      </w:pPr>
      <w:r w:rsidRPr="003E1399">
        <w:rPr>
          <w:sz w:val="28"/>
          <w:szCs w:val="28"/>
        </w:rPr>
        <w:t>Проводить дью</w:t>
      </w:r>
      <w:r w:rsidRPr="003E1399">
        <w:rPr>
          <w:rFonts w:ascii="Cambria Math" w:hAnsi="Cambria Math" w:cs="Cambria Math"/>
          <w:sz w:val="28"/>
          <w:szCs w:val="28"/>
        </w:rPr>
        <w:t>‑</w:t>
      </w:r>
      <w:r w:rsidRPr="003E1399">
        <w:rPr>
          <w:sz w:val="28"/>
          <w:szCs w:val="28"/>
        </w:rPr>
        <w:t xml:space="preserve">дилидженс </w:t>
      </w:r>
      <w:r>
        <w:rPr>
          <w:sz w:val="28"/>
          <w:szCs w:val="28"/>
        </w:rPr>
        <w:t>-</w:t>
      </w:r>
      <w:r w:rsidRPr="003E1399">
        <w:rPr>
          <w:sz w:val="28"/>
          <w:szCs w:val="28"/>
        </w:rPr>
        <w:t xml:space="preserve"> комплексную проверку целевой компании, включающую юридический, финансовый и налоговый анализ.</w:t>
      </w:r>
    </w:p>
    <w:p w14:paraId="1F43AA90" w14:textId="77777777" w:rsidR="00DA62B5" w:rsidRPr="003E1399" w:rsidRDefault="00DA62B5" w:rsidP="00DA62B5">
      <w:pPr>
        <w:spacing w:line="360" w:lineRule="auto"/>
        <w:ind w:firstLine="709"/>
        <w:jc w:val="both"/>
        <w:rPr>
          <w:sz w:val="28"/>
          <w:szCs w:val="28"/>
        </w:rPr>
      </w:pPr>
      <w:r w:rsidRPr="003E1399">
        <w:rPr>
          <w:sz w:val="28"/>
          <w:szCs w:val="28"/>
        </w:rPr>
        <w:t>Тщательно оформлять договоры о слиянии или поглощении, предусматривая механизмы разрешения споров и гарантии исполнения обязательств.</w:t>
      </w:r>
    </w:p>
    <w:p w14:paraId="01F321EB" w14:textId="77777777" w:rsidR="00DA62B5" w:rsidRPr="003E1399" w:rsidRDefault="00DA62B5" w:rsidP="00DA62B5">
      <w:pPr>
        <w:spacing w:line="360" w:lineRule="auto"/>
        <w:ind w:firstLine="709"/>
        <w:jc w:val="both"/>
        <w:rPr>
          <w:sz w:val="28"/>
          <w:szCs w:val="28"/>
        </w:rPr>
      </w:pPr>
      <w:r w:rsidRPr="003E1399">
        <w:rPr>
          <w:sz w:val="28"/>
          <w:szCs w:val="28"/>
        </w:rPr>
        <w:t>Соблюдать антимонопольные процедуры, включая заблаговременное согласование с регуляторами.</w:t>
      </w:r>
    </w:p>
    <w:p w14:paraId="6768F269" w14:textId="77777777" w:rsidR="00DA62B5" w:rsidRPr="003E1399" w:rsidRDefault="00DA62B5" w:rsidP="00DA62B5">
      <w:pPr>
        <w:spacing w:line="360" w:lineRule="auto"/>
        <w:ind w:firstLine="709"/>
        <w:jc w:val="both"/>
        <w:rPr>
          <w:sz w:val="28"/>
          <w:szCs w:val="28"/>
        </w:rPr>
      </w:pPr>
      <w:r w:rsidRPr="003E1399">
        <w:rPr>
          <w:sz w:val="28"/>
          <w:szCs w:val="28"/>
        </w:rPr>
        <w:t>Обеспечивать защиту миноритарных акционеров через независимую оценку стоимости и предоставление права на выкуп акций.</w:t>
      </w:r>
    </w:p>
    <w:p w14:paraId="40288F46" w14:textId="77777777" w:rsidR="00DA62B5" w:rsidRPr="003E1399" w:rsidRDefault="00DA62B5" w:rsidP="00DA62B5">
      <w:pPr>
        <w:spacing w:line="360" w:lineRule="auto"/>
        <w:ind w:firstLine="709"/>
        <w:jc w:val="both"/>
        <w:rPr>
          <w:sz w:val="28"/>
          <w:szCs w:val="28"/>
        </w:rPr>
      </w:pPr>
      <w:r w:rsidRPr="003E1399">
        <w:rPr>
          <w:sz w:val="28"/>
          <w:szCs w:val="28"/>
        </w:rPr>
        <w:lastRenderedPageBreak/>
        <w:t>Учитывать трудовые и лицензионные аспекты при передаче активов, чтобы избежать потери ключевых разрешений и лицензий.</w:t>
      </w:r>
    </w:p>
    <w:p w14:paraId="6F0D34D6" w14:textId="77777777" w:rsidR="00DA62B5" w:rsidRPr="003E1399" w:rsidRDefault="00DA62B5" w:rsidP="00DA62B5">
      <w:pPr>
        <w:spacing w:line="360" w:lineRule="auto"/>
        <w:ind w:firstLine="709"/>
        <w:jc w:val="both"/>
        <w:rPr>
          <w:sz w:val="28"/>
          <w:szCs w:val="28"/>
        </w:rPr>
      </w:pPr>
      <w:r w:rsidRPr="003E1399">
        <w:rPr>
          <w:sz w:val="28"/>
          <w:szCs w:val="28"/>
        </w:rPr>
        <w:t>Использовать эскроу</w:t>
      </w:r>
      <w:r w:rsidRPr="003E1399">
        <w:rPr>
          <w:rFonts w:ascii="Cambria Math" w:hAnsi="Cambria Math" w:cs="Cambria Math"/>
          <w:sz w:val="28"/>
          <w:szCs w:val="28"/>
        </w:rPr>
        <w:t>‑</w:t>
      </w:r>
      <w:r w:rsidRPr="003E1399">
        <w:rPr>
          <w:sz w:val="28"/>
          <w:szCs w:val="28"/>
        </w:rPr>
        <w:t>счета и другие инструменты гарантий исполнения обязательств сторонами.</w:t>
      </w:r>
    </w:p>
    <w:p w14:paraId="68B0EFB9" w14:textId="77777777" w:rsidR="00DA62B5" w:rsidRPr="003E1399" w:rsidRDefault="00DA62B5" w:rsidP="00DA62B5">
      <w:pPr>
        <w:spacing w:line="360" w:lineRule="auto"/>
        <w:ind w:firstLine="709"/>
        <w:jc w:val="both"/>
        <w:rPr>
          <w:sz w:val="28"/>
          <w:szCs w:val="28"/>
        </w:rPr>
      </w:pPr>
      <w:r>
        <w:rPr>
          <w:sz w:val="28"/>
          <w:szCs w:val="28"/>
        </w:rPr>
        <w:t>Таким образом, с</w:t>
      </w:r>
      <w:r w:rsidRPr="003E1399">
        <w:rPr>
          <w:sz w:val="28"/>
          <w:szCs w:val="28"/>
        </w:rPr>
        <w:t>овременные тенденции в сфере M&amp;A указывают на рост числа трансграничных сделок с участием азиатских инвесторов, усиление антимонопольного контроля в цифровой сфере и внедрение ESG</w:t>
      </w:r>
      <w:r w:rsidRPr="003E1399">
        <w:rPr>
          <w:rFonts w:ascii="Cambria Math" w:hAnsi="Cambria Math" w:cs="Cambria Math"/>
          <w:sz w:val="28"/>
          <w:szCs w:val="28"/>
        </w:rPr>
        <w:t>‑</w:t>
      </w:r>
      <w:r w:rsidRPr="003E1399">
        <w:rPr>
          <w:sz w:val="28"/>
          <w:szCs w:val="28"/>
        </w:rPr>
        <w:t>критериев в оценку сделок. Эти факторы требуют от участников рынка гибкости и глубокого понимания правовых нюансов разных юрисдикций.</w:t>
      </w:r>
    </w:p>
    <w:p w14:paraId="66E98151" w14:textId="77777777" w:rsidR="00DA62B5" w:rsidRPr="003E1399" w:rsidRDefault="00DA62B5" w:rsidP="00DA62B5">
      <w:pPr>
        <w:spacing w:line="360" w:lineRule="auto"/>
        <w:ind w:firstLine="709"/>
        <w:jc w:val="both"/>
        <w:rPr>
          <w:sz w:val="28"/>
          <w:szCs w:val="28"/>
        </w:rPr>
      </w:pPr>
      <w:proofErr w:type="spellStart"/>
      <w:r>
        <w:rPr>
          <w:sz w:val="28"/>
          <w:szCs w:val="28"/>
        </w:rPr>
        <w:t>Соответсвенно</w:t>
      </w:r>
      <w:proofErr w:type="spellEnd"/>
      <w:r w:rsidRPr="003E1399">
        <w:rPr>
          <w:sz w:val="28"/>
          <w:szCs w:val="28"/>
        </w:rPr>
        <w:t>, сделки по слияниям и поглощениям остаются сложным юридическим процессом, где успех зависит от:</w:t>
      </w:r>
    </w:p>
    <w:p w14:paraId="2712FCF5"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детальной проработки корпоративных процедур;</w:t>
      </w:r>
    </w:p>
    <w:p w14:paraId="1E7F1880"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соблюдения антимонопольных требований;</w:t>
      </w:r>
    </w:p>
    <w:p w14:paraId="0CDBA3A5"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учёта интересов всех заинтересованных сторон;</w:t>
      </w:r>
    </w:p>
    <w:p w14:paraId="6121ACCF" w14:textId="77777777" w:rsidR="00DA62B5" w:rsidRPr="003E1399" w:rsidRDefault="00DA62B5" w:rsidP="00DA62B5">
      <w:pPr>
        <w:spacing w:line="360" w:lineRule="auto"/>
        <w:ind w:firstLine="709"/>
        <w:jc w:val="both"/>
        <w:rPr>
          <w:sz w:val="28"/>
          <w:szCs w:val="28"/>
        </w:rPr>
      </w:pPr>
      <w:r>
        <w:rPr>
          <w:sz w:val="28"/>
          <w:szCs w:val="28"/>
        </w:rPr>
        <w:t xml:space="preserve">– </w:t>
      </w:r>
      <w:r w:rsidRPr="003E1399">
        <w:rPr>
          <w:sz w:val="28"/>
          <w:szCs w:val="28"/>
        </w:rPr>
        <w:t>прогнозирования и минимизации правовых рисков.</w:t>
      </w:r>
    </w:p>
    <w:p w14:paraId="63EF600E" w14:textId="77777777" w:rsidR="00DA62B5" w:rsidRPr="00F80CEF" w:rsidRDefault="00DA62B5" w:rsidP="00DA62B5">
      <w:pPr>
        <w:spacing w:line="360" w:lineRule="auto"/>
        <w:ind w:firstLine="709"/>
        <w:jc w:val="both"/>
        <w:rPr>
          <w:sz w:val="28"/>
          <w:szCs w:val="28"/>
        </w:rPr>
      </w:pPr>
      <w:r w:rsidRPr="003E1399">
        <w:rPr>
          <w:sz w:val="28"/>
          <w:szCs w:val="28"/>
        </w:rPr>
        <w:t>В условиях глобализации и усложнения регуляторной среды участники сделок M&amp;A должны быть готовы к адаптации своих стратегий и использованию лучших практик как российской, так и международной юриспруденции.</w:t>
      </w:r>
    </w:p>
    <w:p w14:paraId="6B6F5519" w14:textId="77777777" w:rsidR="00E70A79" w:rsidRDefault="00E70A79"/>
    <w:sectPr w:rsidR="00E70A7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Math">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383"/>
    <w:rsid w:val="00206383"/>
    <w:rsid w:val="005C6286"/>
    <w:rsid w:val="00A75397"/>
    <w:rsid w:val="00DA62B5"/>
    <w:rsid w:val="00DD6878"/>
    <w:rsid w:val="00E70A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44F7A3"/>
  <w15:chartTrackingRefBased/>
  <w15:docId w15:val="{F1E720B8-E29A-4E92-AF42-DD91DEC292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kern w:val="2"/>
        <w:sz w:val="24"/>
        <w:szCs w:val="24"/>
        <w:lang w:val="ru-RU"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A62B5"/>
    <w:pPr>
      <w:widowControl w:val="0"/>
      <w:autoSpaceDE w:val="0"/>
      <w:autoSpaceDN w:val="0"/>
      <w:adjustRightInd w:val="0"/>
      <w:spacing w:after="0" w:line="240" w:lineRule="auto"/>
    </w:pPr>
    <w:rPr>
      <w:rFonts w:eastAsia="Times New Roman"/>
      <w:kern w:val="0"/>
      <w:sz w:val="20"/>
      <w:szCs w:val="20"/>
      <w:lang w:eastAsia="ru-RU"/>
      <w14:ligatures w14:val="none"/>
    </w:rPr>
  </w:style>
  <w:style w:type="paragraph" w:styleId="1">
    <w:name w:val="heading 1"/>
    <w:basedOn w:val="a"/>
    <w:next w:val="a"/>
    <w:link w:val="10"/>
    <w:uiPriority w:val="9"/>
    <w:qFormat/>
    <w:rsid w:val="00206383"/>
    <w:pPr>
      <w:keepNext/>
      <w:keepLines/>
      <w:widowControl/>
      <w:autoSpaceDE/>
      <w:autoSpaceDN/>
      <w:adjustRightInd/>
      <w:spacing w:before="360" w:after="80" w:line="278"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2">
    <w:name w:val="heading 2"/>
    <w:basedOn w:val="a"/>
    <w:next w:val="a"/>
    <w:link w:val="20"/>
    <w:uiPriority w:val="9"/>
    <w:semiHidden/>
    <w:unhideWhenUsed/>
    <w:qFormat/>
    <w:rsid w:val="00206383"/>
    <w:pPr>
      <w:keepNext/>
      <w:keepLines/>
      <w:widowControl/>
      <w:autoSpaceDE/>
      <w:autoSpaceDN/>
      <w:adjustRightInd/>
      <w:spacing w:before="160" w:after="80" w:line="278"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3">
    <w:name w:val="heading 3"/>
    <w:basedOn w:val="a"/>
    <w:next w:val="a"/>
    <w:link w:val="30"/>
    <w:uiPriority w:val="9"/>
    <w:semiHidden/>
    <w:unhideWhenUsed/>
    <w:qFormat/>
    <w:rsid w:val="00206383"/>
    <w:pPr>
      <w:keepNext/>
      <w:keepLines/>
      <w:widowControl/>
      <w:autoSpaceDE/>
      <w:autoSpaceDN/>
      <w:adjustRightInd/>
      <w:spacing w:before="160" w:after="80" w:line="278"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4">
    <w:name w:val="heading 4"/>
    <w:basedOn w:val="a"/>
    <w:next w:val="a"/>
    <w:link w:val="40"/>
    <w:uiPriority w:val="9"/>
    <w:semiHidden/>
    <w:unhideWhenUsed/>
    <w:qFormat/>
    <w:rsid w:val="00206383"/>
    <w:pPr>
      <w:keepNext/>
      <w:keepLines/>
      <w:widowControl/>
      <w:autoSpaceDE/>
      <w:autoSpaceDN/>
      <w:adjustRightInd/>
      <w:spacing w:before="80" w:after="40" w:line="278" w:lineRule="auto"/>
      <w:outlineLvl w:val="3"/>
    </w:pPr>
    <w:rPr>
      <w:rFonts w:asciiTheme="minorHAnsi" w:eastAsiaTheme="majorEastAsia" w:hAnsiTheme="minorHAnsi" w:cstheme="majorBidi"/>
      <w:i/>
      <w:iCs/>
      <w:color w:val="0F4761" w:themeColor="accent1" w:themeShade="BF"/>
      <w:kern w:val="2"/>
      <w:sz w:val="24"/>
      <w:szCs w:val="24"/>
      <w:lang w:eastAsia="en-US"/>
      <w14:ligatures w14:val="standardContextual"/>
    </w:rPr>
  </w:style>
  <w:style w:type="paragraph" w:styleId="5">
    <w:name w:val="heading 5"/>
    <w:basedOn w:val="a"/>
    <w:next w:val="a"/>
    <w:link w:val="50"/>
    <w:uiPriority w:val="9"/>
    <w:semiHidden/>
    <w:unhideWhenUsed/>
    <w:qFormat/>
    <w:rsid w:val="00206383"/>
    <w:pPr>
      <w:keepNext/>
      <w:keepLines/>
      <w:widowControl/>
      <w:autoSpaceDE/>
      <w:autoSpaceDN/>
      <w:adjustRightInd/>
      <w:spacing w:before="80" w:after="40" w:line="278" w:lineRule="auto"/>
      <w:outlineLvl w:val="4"/>
    </w:pPr>
    <w:rPr>
      <w:rFonts w:asciiTheme="minorHAnsi" w:eastAsiaTheme="majorEastAsia" w:hAnsiTheme="minorHAnsi" w:cstheme="majorBidi"/>
      <w:color w:val="0F4761" w:themeColor="accent1" w:themeShade="BF"/>
      <w:kern w:val="2"/>
      <w:sz w:val="24"/>
      <w:szCs w:val="24"/>
      <w:lang w:eastAsia="en-US"/>
      <w14:ligatures w14:val="standardContextual"/>
    </w:rPr>
  </w:style>
  <w:style w:type="paragraph" w:styleId="6">
    <w:name w:val="heading 6"/>
    <w:basedOn w:val="a"/>
    <w:next w:val="a"/>
    <w:link w:val="60"/>
    <w:uiPriority w:val="9"/>
    <w:semiHidden/>
    <w:unhideWhenUsed/>
    <w:qFormat/>
    <w:rsid w:val="00206383"/>
    <w:pPr>
      <w:keepNext/>
      <w:keepLines/>
      <w:widowControl/>
      <w:autoSpaceDE/>
      <w:autoSpaceDN/>
      <w:adjustRightInd/>
      <w:spacing w:before="40" w:line="278" w:lineRule="auto"/>
      <w:outlineLvl w:val="5"/>
    </w:pPr>
    <w:rPr>
      <w:rFonts w:asciiTheme="minorHAnsi" w:eastAsiaTheme="majorEastAsia" w:hAnsiTheme="minorHAnsi" w:cstheme="majorBidi"/>
      <w:i/>
      <w:iCs/>
      <w:color w:val="595959" w:themeColor="text1" w:themeTint="A6"/>
      <w:kern w:val="2"/>
      <w:sz w:val="24"/>
      <w:szCs w:val="24"/>
      <w:lang w:eastAsia="en-US"/>
      <w14:ligatures w14:val="standardContextual"/>
    </w:rPr>
  </w:style>
  <w:style w:type="paragraph" w:styleId="7">
    <w:name w:val="heading 7"/>
    <w:basedOn w:val="a"/>
    <w:next w:val="a"/>
    <w:link w:val="70"/>
    <w:uiPriority w:val="9"/>
    <w:semiHidden/>
    <w:unhideWhenUsed/>
    <w:qFormat/>
    <w:rsid w:val="00206383"/>
    <w:pPr>
      <w:keepNext/>
      <w:keepLines/>
      <w:widowControl/>
      <w:autoSpaceDE/>
      <w:autoSpaceDN/>
      <w:adjustRightInd/>
      <w:spacing w:before="40" w:line="278" w:lineRule="auto"/>
      <w:outlineLvl w:val="6"/>
    </w:pPr>
    <w:rPr>
      <w:rFonts w:asciiTheme="minorHAnsi" w:eastAsiaTheme="majorEastAsia" w:hAnsiTheme="minorHAnsi" w:cstheme="majorBidi"/>
      <w:color w:val="595959" w:themeColor="text1" w:themeTint="A6"/>
      <w:kern w:val="2"/>
      <w:sz w:val="24"/>
      <w:szCs w:val="24"/>
      <w:lang w:eastAsia="en-US"/>
      <w14:ligatures w14:val="standardContextual"/>
    </w:rPr>
  </w:style>
  <w:style w:type="paragraph" w:styleId="8">
    <w:name w:val="heading 8"/>
    <w:basedOn w:val="a"/>
    <w:next w:val="a"/>
    <w:link w:val="80"/>
    <w:uiPriority w:val="9"/>
    <w:semiHidden/>
    <w:unhideWhenUsed/>
    <w:qFormat/>
    <w:rsid w:val="00206383"/>
    <w:pPr>
      <w:keepNext/>
      <w:keepLines/>
      <w:widowControl/>
      <w:autoSpaceDE/>
      <w:autoSpaceDN/>
      <w:adjustRightInd/>
      <w:spacing w:line="278" w:lineRule="auto"/>
      <w:outlineLvl w:val="7"/>
    </w:pPr>
    <w:rPr>
      <w:rFonts w:asciiTheme="minorHAnsi" w:eastAsiaTheme="majorEastAsia" w:hAnsiTheme="minorHAnsi" w:cstheme="majorBidi"/>
      <w:i/>
      <w:iCs/>
      <w:color w:val="272727" w:themeColor="text1" w:themeTint="D8"/>
      <w:kern w:val="2"/>
      <w:sz w:val="24"/>
      <w:szCs w:val="24"/>
      <w:lang w:eastAsia="en-US"/>
      <w14:ligatures w14:val="standardContextual"/>
    </w:rPr>
  </w:style>
  <w:style w:type="paragraph" w:styleId="9">
    <w:name w:val="heading 9"/>
    <w:basedOn w:val="a"/>
    <w:next w:val="a"/>
    <w:link w:val="90"/>
    <w:uiPriority w:val="9"/>
    <w:semiHidden/>
    <w:unhideWhenUsed/>
    <w:qFormat/>
    <w:rsid w:val="00206383"/>
    <w:pPr>
      <w:keepNext/>
      <w:keepLines/>
      <w:widowControl/>
      <w:autoSpaceDE/>
      <w:autoSpaceDN/>
      <w:adjustRightInd/>
      <w:spacing w:line="278" w:lineRule="auto"/>
      <w:outlineLvl w:val="8"/>
    </w:pPr>
    <w:rPr>
      <w:rFonts w:asciiTheme="minorHAnsi" w:eastAsiaTheme="majorEastAsia" w:hAnsiTheme="minorHAnsi" w:cstheme="majorBidi"/>
      <w:color w:val="272727" w:themeColor="text1" w:themeTint="D8"/>
      <w:kern w:val="2"/>
      <w:sz w:val="24"/>
      <w:szCs w:val="24"/>
      <w:lang w:eastAsia="en-US"/>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06383"/>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206383"/>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206383"/>
    <w:rPr>
      <w:rFonts w:asciiTheme="minorHAnsi" w:eastAsiaTheme="majorEastAsia" w:hAnsiTheme="minorHAnsi" w:cstheme="majorBidi"/>
      <w:color w:val="0F4761" w:themeColor="accent1" w:themeShade="BF"/>
      <w:sz w:val="28"/>
      <w:szCs w:val="28"/>
    </w:rPr>
  </w:style>
  <w:style w:type="character" w:customStyle="1" w:styleId="40">
    <w:name w:val="Заголовок 4 Знак"/>
    <w:basedOn w:val="a0"/>
    <w:link w:val="4"/>
    <w:uiPriority w:val="9"/>
    <w:semiHidden/>
    <w:rsid w:val="00206383"/>
    <w:rPr>
      <w:rFonts w:asciiTheme="minorHAnsi" w:eastAsiaTheme="majorEastAsia" w:hAnsiTheme="minorHAnsi" w:cstheme="majorBidi"/>
      <w:i/>
      <w:iCs/>
      <w:color w:val="0F4761" w:themeColor="accent1" w:themeShade="BF"/>
    </w:rPr>
  </w:style>
  <w:style w:type="character" w:customStyle="1" w:styleId="50">
    <w:name w:val="Заголовок 5 Знак"/>
    <w:basedOn w:val="a0"/>
    <w:link w:val="5"/>
    <w:uiPriority w:val="9"/>
    <w:semiHidden/>
    <w:rsid w:val="00206383"/>
    <w:rPr>
      <w:rFonts w:asciiTheme="minorHAnsi" w:eastAsiaTheme="majorEastAsia" w:hAnsiTheme="minorHAnsi" w:cstheme="majorBidi"/>
      <w:color w:val="0F4761" w:themeColor="accent1" w:themeShade="BF"/>
    </w:rPr>
  </w:style>
  <w:style w:type="character" w:customStyle="1" w:styleId="60">
    <w:name w:val="Заголовок 6 Знак"/>
    <w:basedOn w:val="a0"/>
    <w:link w:val="6"/>
    <w:uiPriority w:val="9"/>
    <w:semiHidden/>
    <w:rsid w:val="00206383"/>
    <w:rPr>
      <w:rFonts w:asciiTheme="minorHAnsi" w:eastAsiaTheme="majorEastAsia" w:hAnsiTheme="minorHAnsi" w:cstheme="majorBidi"/>
      <w:i/>
      <w:iCs/>
      <w:color w:val="595959" w:themeColor="text1" w:themeTint="A6"/>
    </w:rPr>
  </w:style>
  <w:style w:type="character" w:customStyle="1" w:styleId="70">
    <w:name w:val="Заголовок 7 Знак"/>
    <w:basedOn w:val="a0"/>
    <w:link w:val="7"/>
    <w:uiPriority w:val="9"/>
    <w:semiHidden/>
    <w:rsid w:val="00206383"/>
    <w:rPr>
      <w:rFonts w:asciiTheme="minorHAnsi" w:eastAsiaTheme="majorEastAsia" w:hAnsiTheme="minorHAnsi" w:cstheme="majorBidi"/>
      <w:color w:val="595959" w:themeColor="text1" w:themeTint="A6"/>
    </w:rPr>
  </w:style>
  <w:style w:type="character" w:customStyle="1" w:styleId="80">
    <w:name w:val="Заголовок 8 Знак"/>
    <w:basedOn w:val="a0"/>
    <w:link w:val="8"/>
    <w:uiPriority w:val="9"/>
    <w:semiHidden/>
    <w:rsid w:val="00206383"/>
    <w:rPr>
      <w:rFonts w:asciiTheme="minorHAnsi" w:eastAsiaTheme="majorEastAsia" w:hAnsiTheme="minorHAnsi" w:cstheme="majorBidi"/>
      <w:i/>
      <w:iCs/>
      <w:color w:val="272727" w:themeColor="text1" w:themeTint="D8"/>
    </w:rPr>
  </w:style>
  <w:style w:type="character" w:customStyle="1" w:styleId="90">
    <w:name w:val="Заголовок 9 Знак"/>
    <w:basedOn w:val="a0"/>
    <w:link w:val="9"/>
    <w:uiPriority w:val="9"/>
    <w:semiHidden/>
    <w:rsid w:val="00206383"/>
    <w:rPr>
      <w:rFonts w:asciiTheme="minorHAnsi" w:eastAsiaTheme="majorEastAsia" w:hAnsiTheme="minorHAnsi" w:cstheme="majorBidi"/>
      <w:color w:val="272727" w:themeColor="text1" w:themeTint="D8"/>
    </w:rPr>
  </w:style>
  <w:style w:type="paragraph" w:styleId="a3">
    <w:name w:val="Title"/>
    <w:basedOn w:val="a"/>
    <w:next w:val="a"/>
    <w:link w:val="a4"/>
    <w:uiPriority w:val="10"/>
    <w:qFormat/>
    <w:rsid w:val="00206383"/>
    <w:pPr>
      <w:widowControl/>
      <w:autoSpaceDE/>
      <w:autoSpaceDN/>
      <w:adjustRightInd/>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a4">
    <w:name w:val="Заголовок Знак"/>
    <w:basedOn w:val="a0"/>
    <w:link w:val="a3"/>
    <w:uiPriority w:val="10"/>
    <w:rsid w:val="0020638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206383"/>
    <w:pPr>
      <w:widowControl/>
      <w:numPr>
        <w:ilvl w:val="1"/>
      </w:numPr>
      <w:autoSpaceDE/>
      <w:autoSpaceDN/>
      <w:adjustRightInd/>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a6">
    <w:name w:val="Подзаголовок Знак"/>
    <w:basedOn w:val="a0"/>
    <w:link w:val="a5"/>
    <w:uiPriority w:val="11"/>
    <w:rsid w:val="00206383"/>
    <w:rPr>
      <w:rFonts w:asciiTheme="minorHAnsi" w:eastAsiaTheme="majorEastAsia" w:hAnsiTheme="minorHAnsi" w:cstheme="majorBidi"/>
      <w:color w:val="595959" w:themeColor="text1" w:themeTint="A6"/>
      <w:spacing w:val="15"/>
      <w:sz w:val="28"/>
      <w:szCs w:val="28"/>
    </w:rPr>
  </w:style>
  <w:style w:type="paragraph" w:styleId="21">
    <w:name w:val="Quote"/>
    <w:basedOn w:val="a"/>
    <w:next w:val="a"/>
    <w:link w:val="22"/>
    <w:uiPriority w:val="29"/>
    <w:qFormat/>
    <w:rsid w:val="00206383"/>
    <w:pPr>
      <w:widowControl/>
      <w:autoSpaceDE/>
      <w:autoSpaceDN/>
      <w:adjustRightInd/>
      <w:spacing w:before="160" w:after="160" w:line="278" w:lineRule="auto"/>
      <w:jc w:val="center"/>
    </w:pPr>
    <w:rPr>
      <w:rFonts w:eastAsiaTheme="minorHAnsi"/>
      <w:i/>
      <w:iCs/>
      <w:color w:val="404040" w:themeColor="text1" w:themeTint="BF"/>
      <w:kern w:val="2"/>
      <w:sz w:val="24"/>
      <w:szCs w:val="24"/>
      <w:lang w:eastAsia="en-US"/>
      <w14:ligatures w14:val="standardContextual"/>
    </w:rPr>
  </w:style>
  <w:style w:type="character" w:customStyle="1" w:styleId="22">
    <w:name w:val="Цитата 2 Знак"/>
    <w:basedOn w:val="a0"/>
    <w:link w:val="21"/>
    <w:uiPriority w:val="29"/>
    <w:rsid w:val="00206383"/>
    <w:rPr>
      <w:i/>
      <w:iCs/>
      <w:color w:val="404040" w:themeColor="text1" w:themeTint="BF"/>
    </w:rPr>
  </w:style>
  <w:style w:type="paragraph" w:styleId="a7">
    <w:name w:val="List Paragraph"/>
    <w:basedOn w:val="a"/>
    <w:uiPriority w:val="34"/>
    <w:qFormat/>
    <w:rsid w:val="00206383"/>
    <w:pPr>
      <w:widowControl/>
      <w:autoSpaceDE/>
      <w:autoSpaceDN/>
      <w:adjustRightInd/>
      <w:spacing w:after="160" w:line="278" w:lineRule="auto"/>
      <w:ind w:left="720"/>
      <w:contextualSpacing/>
    </w:pPr>
    <w:rPr>
      <w:rFonts w:eastAsiaTheme="minorHAnsi"/>
      <w:kern w:val="2"/>
      <w:sz w:val="24"/>
      <w:szCs w:val="24"/>
      <w:lang w:eastAsia="en-US"/>
      <w14:ligatures w14:val="standardContextual"/>
    </w:rPr>
  </w:style>
  <w:style w:type="character" w:styleId="a8">
    <w:name w:val="Intense Emphasis"/>
    <w:basedOn w:val="a0"/>
    <w:uiPriority w:val="21"/>
    <w:qFormat/>
    <w:rsid w:val="00206383"/>
    <w:rPr>
      <w:i/>
      <w:iCs/>
      <w:color w:val="0F4761" w:themeColor="accent1" w:themeShade="BF"/>
    </w:rPr>
  </w:style>
  <w:style w:type="paragraph" w:styleId="a9">
    <w:name w:val="Intense Quote"/>
    <w:basedOn w:val="a"/>
    <w:next w:val="a"/>
    <w:link w:val="aa"/>
    <w:uiPriority w:val="30"/>
    <w:qFormat/>
    <w:rsid w:val="00206383"/>
    <w:pPr>
      <w:widowControl/>
      <w:pBdr>
        <w:top w:val="single" w:sz="4" w:space="10" w:color="0F4761" w:themeColor="accent1" w:themeShade="BF"/>
        <w:bottom w:val="single" w:sz="4" w:space="10" w:color="0F4761" w:themeColor="accent1" w:themeShade="BF"/>
      </w:pBdr>
      <w:autoSpaceDE/>
      <w:autoSpaceDN/>
      <w:adjustRightInd/>
      <w:spacing w:before="360" w:after="360" w:line="278" w:lineRule="auto"/>
      <w:ind w:left="864" w:right="864"/>
      <w:jc w:val="center"/>
    </w:pPr>
    <w:rPr>
      <w:rFonts w:eastAsiaTheme="minorHAnsi"/>
      <w:i/>
      <w:iCs/>
      <w:color w:val="0F4761" w:themeColor="accent1" w:themeShade="BF"/>
      <w:kern w:val="2"/>
      <w:sz w:val="24"/>
      <w:szCs w:val="24"/>
      <w:lang w:eastAsia="en-US"/>
      <w14:ligatures w14:val="standardContextual"/>
    </w:rPr>
  </w:style>
  <w:style w:type="character" w:customStyle="1" w:styleId="aa">
    <w:name w:val="Выделенная цитата Знак"/>
    <w:basedOn w:val="a0"/>
    <w:link w:val="a9"/>
    <w:uiPriority w:val="30"/>
    <w:rsid w:val="00206383"/>
    <w:rPr>
      <w:i/>
      <w:iCs/>
      <w:color w:val="0F4761" w:themeColor="accent1" w:themeShade="BF"/>
    </w:rPr>
  </w:style>
  <w:style w:type="character" w:styleId="ab">
    <w:name w:val="Intense Reference"/>
    <w:basedOn w:val="a0"/>
    <w:uiPriority w:val="32"/>
    <w:qFormat/>
    <w:rsid w:val="0020638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1417</Words>
  <Characters>8082</Characters>
  <Application>Microsoft Office Word</Application>
  <DocSecurity>0</DocSecurity>
  <Lines>67</Lines>
  <Paragraphs>18</Paragraphs>
  <ScaleCrop>false</ScaleCrop>
  <Company/>
  <LinksUpToDate>false</LinksUpToDate>
  <CharactersWithSpaces>9481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Dasha_L</dc:creator>
  <cp:keywords/>
  <dc:description/>
  <cp:lastModifiedBy>Dasha_L</cp:lastModifiedBy>
  <cp:revision>3</cp:revision>
  <dcterms:created xsi:type="dcterms:W3CDTF">2026-05-22T06:42:00Z</dcterms:created>
  <dcterms:modified xsi:type="dcterms:W3CDTF">2026-05-22T06:43:00Z</dcterms:modified>
</cp:coreProperties>
</file>