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A9D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240" w:lineRule="auto"/>
        <w:ind w:left="0" w:right="0" w:firstLine="680"/>
        <w:jc w:val="right"/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Тюхова К.Р.</w:t>
      </w:r>
    </w:p>
    <w:p w14:paraId="45AAE6BB">
      <w:pPr>
        <w:jc w:val="right"/>
        <w:rPr>
          <w:rFonts w:hint="default" w:ascii="Times New Roman" w:hAnsi="Times New Roman" w:eastAsia="SimSu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sz w:val="28"/>
          <w:szCs w:val="28"/>
        </w:rPr>
        <w:t>Дальневосточный филиал «Российского государственного университета правосудия имени В.М. Лебедева», г. Хабаровск, Россия.</w:t>
      </w:r>
    </w:p>
    <w:p w14:paraId="692BC68A">
      <w:pPr>
        <w:jc w:val="center"/>
        <w:rPr>
          <w:rFonts w:hint="default" w:ascii="Times New Roman" w:hAnsi="Times New Roman" w:eastAsia="SimSun" w:cs="Times New Roman"/>
          <w:color w:val="000000"/>
          <w:sz w:val="28"/>
          <w:szCs w:val="28"/>
        </w:rPr>
      </w:pPr>
    </w:p>
    <w:p w14:paraId="3DF1A824">
      <w:pPr>
        <w:jc w:val="center"/>
        <w:rPr>
          <w:rFonts w:hint="default" w:ascii="Times New Roman" w:hAnsi="Times New Roman" w:eastAsia="SimSu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SimSun"/>
          <w:b/>
          <w:bCs/>
          <w:color w:val="000000"/>
          <w:sz w:val="28"/>
          <w:szCs w:val="28"/>
        </w:rPr>
        <w:t>Судебный процесс по законам XII таблиц: истоки состязательности и формализма римского права</w:t>
      </w:r>
    </w:p>
    <w:p w14:paraId="6C871620">
      <w:pPr>
        <w:jc w:val="left"/>
        <w:rPr>
          <w:rFonts w:hint="default" w:ascii="Times New Roman" w:hAnsi="Times New Roman" w:eastAsia="SimSun"/>
          <w:b/>
          <w:bCs/>
          <w:color w:val="000000"/>
          <w:sz w:val="28"/>
          <w:szCs w:val="28"/>
        </w:rPr>
      </w:pPr>
    </w:p>
    <w:p w14:paraId="358929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/>
          <w:bCs/>
          <w:color w:val="000000"/>
          <w:sz w:val="28"/>
          <w:szCs w:val="28"/>
          <w:lang w:val="ru-RU"/>
        </w:rPr>
        <w:t xml:space="preserve">Аннотация: </w:t>
      </w: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В статье рассматривается судебный процесс в архаическом Риме на основе Законов XII таблиц (451–450 гг. до н.э.). Анализируются черты формализма и состязательности как основных принципов легисакционного процесса. Автор показывает, что строгое соблюдение устных формул и жестов было не недостатком, а необходимым условием защиты права в условиях отсутствия письменной процедуры. Особое внимание уделяется эволюции от жёсткого формализма к более гибким формам, что заложило основу для классического римского права.</w:t>
      </w:r>
    </w:p>
    <w:p w14:paraId="4130AF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39C0D5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/>
          <w:bCs/>
          <w:color w:val="000000"/>
          <w:sz w:val="28"/>
          <w:szCs w:val="28"/>
          <w:lang w:val="ru-RU"/>
        </w:rPr>
        <w:t xml:space="preserve">Ключевые слова: </w:t>
      </w: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Законы XII таблиц, легисакционный процесс, формализм, состязательность, римское право, leges actiones, судебный процесс.</w:t>
      </w:r>
    </w:p>
    <w:p w14:paraId="5A6004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0EFAD4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6207C3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306546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013011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4EEF0F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64B9BE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54B3D0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5711E9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18AEF7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053BE8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32C0A5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63C352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473CF8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537903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18B6B3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Законы XII таблиц — первый письменный источник римского права, созданный под давлением плебеев, стремившихся ограничить произвол патрицианских магистратов. До этого судебные решения основывались на неписаных обычаях и толковании понтификов, что делало правосудие закрытым и предсказуемым только для посвящённых. Таблицы зафиксировали не только нормы материального права, но и процессуальные правила. Именно в них впервые в европейской традиции чётко проявились два фундаментальных начала гражданского судопроизводства: состязательность (инициатива сторон) и формализм (строго предписанный порядок действий).</w:t>
      </w:r>
    </w:p>
    <w:p w14:paraId="5B3EA7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Легисакционный процесс был доступен только римским гражданам и просуществовал более пяти столетий — приблизительно с 509 г. до н.э. до принятия закона Эбуция (ок. 120 г. до н.э.). Он характеризовался торжественно произносившимися формулами и символическими действиями.</w:t>
      </w:r>
    </w:p>
    <w:p w14:paraId="1D32D1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Процесс состоял из двух обязательных стадий: in iure («на праве») и in iudicio («на суде»).</w:t>
      </w:r>
    </w:p>
    <w:p w14:paraId="64295C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Первая стадия (in iure) проходила перед магистратом — сначала перед консулом, а затем перед претором. Стороны являлись на форум в назначенный день и, произнеся строго определённые слова, излагали свои претензии и возражения. Если никто не сбивался с предписанной формулы, претор назначал день суда и судью для второй стадии. Любое, даже малейшее, нарушение формальной стороны процесса рассматривалось как вмешательство богов и влекло за собой немедленный проигрыш дела. Тяжущиеся вносили денежный залог в кассу понтификов: по искам на сумму 1000 и более ассов — 500 ассов, на меньшую сумму — 50 ассов; если спор шёл о свободе человека, залог составлял 50 ассов независимо от цены. Проигравший дело терял свой залог, что служило защитой от сутяжничества.</w:t>
      </w:r>
    </w:p>
    <w:p w14:paraId="7A70F9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Для обеспечения явки ответчика существовала процедура in ius vocatio — торжественное устное приглашение на суд. Законы XII таблиц прямо предписывали: «Если вызывают [кого-нибудь] на судоговорение, пусть [вызванный] идёт. Если [он] не идёт, пусть [тот, кто вызвал] подтвердит [свой вызов] при свидетелях, а потом ведёт его насильно». Так ответчик принуждался к участию в процессе.</w:t>
      </w:r>
    </w:p>
    <w:p w14:paraId="0C9BC3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Вторая стадия (in iudicio) проходила перед частным судьёй (обычно из списка кандидатов, утверждённых сенатом). Здесь судья выслушивал стороны, свидетелей, рассматривал доказательства и выносил окончательное решение, которое не подлежало обжалованию — апелляции и кассации древнейшее право Рима не знало. Кроме того, существовало жёсткое ограничение по времени: «Если [на судоговорении] присутствуют обе стороны, пусть заход солнца будет крайним сроком [судоговорения]».</w:t>
      </w:r>
    </w:p>
    <w:p w14:paraId="1736AD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Формализм как сущностная черта легисакционного процесса</w:t>
      </w:r>
    </w:p>
    <w:p w14:paraId="6F556D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Формализм был не просто технической особенностью, а определяющим принципом древнейшего судопроизводства. Суть его заключалась в том, что претензии сторон должны были быть выражены строго определёнными словами (certa verba) с соблюдением установленных жестов и символических действий. Римляне полагали, что судебная процедура имеет сакральный характер, и любая ошибка в слове или жесте оскорбляет богов, а потому лишает процесс законной силы.</w:t>
      </w:r>
    </w:p>
    <w:p w14:paraId="759638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Классическим примером формализма служит legis actio sacramento in rem — спор о праве собственности на вещь, описанный Гаем. Истец, держа в руке символическую палочку (festuca или vindicta), налагал её на спорный предмет и произносил торжественную формулу: «Я утверждаю, что эта вещь по квиритскому праву принадлежит мне; как я сказал, так вот я наложил vindicta». Ответчик повторял те же слова и действия, если желал оспорить притязание, после чего претор приказывал им оставить вещь.</w:t>
      </w:r>
    </w:p>
    <w:p w14:paraId="101D60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Наиболее показательный пример формализма, приводимый Гаем в «Институциях»: истец, предъявлявший иск по поводу уничтожения виноградных лоз и называвший их в иске «виноградными лозами», проигрывал дело. Он должен был называть их «деревьями», поскольку буквальный смысл Законов XII таблиц предусматривал иск лишь по поводу срубленных деревьев.</w:t>
      </w:r>
    </w:p>
    <w:p w14:paraId="18984F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Таким образом, формализм в легисакционном процессе выполнял несколько ключевых функций:</w:t>
      </w:r>
    </w:p>
    <w:p w14:paraId="302AE4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1. Ритуально - сакральную: процесс воспринимался как священнодействие, а ошибка рассматривалась как оскорбление богов.</w:t>
      </w:r>
    </w:p>
    <w:p w14:paraId="307FF2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2. Дисциплинарную: установление жёстких рамок отсекало несерьёзные, непродуманные иски.</w:t>
      </w:r>
    </w:p>
    <w:p w14:paraId="061575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3. Правовую: формализм гарантировал предсказуемость и единообразие судебной практики в условиях отсутствия развитой системы законодательства.</w:t>
      </w:r>
    </w:p>
    <w:p w14:paraId="685FCA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3. Состязательность: пассивность магистрата и активность сторон</w:t>
      </w:r>
    </w:p>
    <w:p w14:paraId="51CE31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При всей строгости формальных требований легисакционный процесс носил ярко выраженный состязательный характер. Магистрат на стадии in iure не имел права изменять закон или помогать сторонам исправлять ошибки; его роль сводилась к пассивному наблюдению за соблюдением ритуала и, в случае правильного выполнения всех формальностей, к назначению судьи. Юридический спор понимался как личное дело сторон, а вмешательство государства было минимальным. Эта модель получила в науке название обвинительного (состязательного) процесса.</w:t>
      </w:r>
    </w:p>
    <w:p w14:paraId="3042E6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Состязательность проявлялась в нескольких аспектах:</w:t>
      </w:r>
    </w:p>
    <w:p w14:paraId="581539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· Инициатива сторон. Именно истец определял момент обращения за судебной защитой, формулировал претензию и обеспечивал явку ответчика. Законы XII таблиц прямо закрепляли за истцом право силой привести ответчика, если тот уклонялся от явки.</w:t>
      </w:r>
    </w:p>
    <w:p w14:paraId="2200FC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· Равенство формальных возможностей. Обе стороны обладали равным правом произносить установленные формулы, приводить свидетелей и представлять свои доводы.</w:t>
      </w:r>
    </w:p>
    <w:p w14:paraId="038C2A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· Ответственность сторон за результат. Поскольку магистрат не исправлял ошибок, проигрыш дела целиком ложился на ту сторону, которая допустила неточность в произнесении слов или жестов.</w:t>
      </w:r>
    </w:p>
    <w:p w14:paraId="66D3EF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· Финансовая ответственность. Залог, который стороны вносили перед началом процесса, проигрывался вместе с делом, что создавало дополнительный стимул тщательно готовиться к суду.</w:t>
      </w:r>
    </w:p>
    <w:p w14:paraId="704BDF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Кроме того, истец был обязан самостоятельно привлекать свидетелей. Таблица II предписывала: «Пусть [тяжущийся], которому недостаёт свидетельских показаний, идёт к воротам дома [не явившегося на разбирательство свидетеля] и в течение трёх дней во всеуслышание взывает [к нему]».</w:t>
      </w:r>
    </w:p>
    <w:p w14:paraId="07A9E3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Кризис формализма и переход к формулярному процессу</w:t>
      </w:r>
    </w:p>
    <w:p w14:paraId="45E7EE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Чрезмерная строгость легисакционного процесса со временем стала тормозом для развития правовой системы. С расширением территории Рима и усложнением торгового оборота требования абсолютной точности в словах и жестах становились неудобными и часто вели к несправедливым решениям.</w:t>
      </w:r>
    </w:p>
    <w:p w14:paraId="6CC5DA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Решающий шаг был сделан законом Эбуция (lex Aebutia, ок. 120 г. до н.э.), который ввёл новую форму судопроизводства — формулярный процесс. Первоначально он применялся наряду с легисакционным по желанию сторон, но постепенно вытеснил его и был окончательно закреплён как единственная форма ординарного гражданского судопроизводства законами Юлия (17 г. до н.э.).</w:t>
      </w:r>
    </w:p>
    <w:p w14:paraId="714D24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В формулярном процессе сохранялось деление на две стадии, однако кардинально менялось содержание. На стадии in iure претензия истца и возражения ответчика излагались уже не торжественными обрядовыми фразами, а обычными словами. Затем претор составлял письменный документ — формулу (formula), адресованную судье. В этой условной записке претор указывал судье, при каких обстоятельствах следует присудить или оправдать ответчика (классическая фраза: «Если окажется… присуди, если не окажется… оправдай»). Теперь уже не стороны, а претор облекал суть спора в юридически значимую форму, что значительно упростило доступ к правосудию и сделало процесс более гибким.</w:t>
      </w:r>
    </w:p>
    <w:p w14:paraId="264DE7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Таким образом: Легисакционный процесс по Законам XII таблиц представляет собой уникальную историческую модель судопроизводства, в которой в архаической, ритуализированной форме были заложены основы современного гражданского процесса. С одной стороны, формализм обеспечивал предсказуемость правосудия и дисциплинировал участников спора; с другой — состязательность закрепляла за сторонами активную роль в защите своих прав и минимизировала усмотрение магистрата.</w:t>
      </w:r>
    </w:p>
    <w:p w14:paraId="6690A2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14AB77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Эволюция от легисакционного к формулярному процессу наглядно демонстрирует, как римское право, сохраняя свои фундаментальные принципы, становилось всё более гибким и приспособленным к потребностям усложняющегося общества. Ключевые черты легисакционного процесса — состязательность, диспозитивность, разделение судебных функций между магистратом и судьёй — были восприняты и развиты последующими правовыми системами, в том числе современным гражданским процессуальным правом.</w:t>
      </w:r>
    </w:p>
    <w:p w14:paraId="596734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5BB6BE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1A12A5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15328D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2B0B27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038F3C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67441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5E8515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5D28B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2596EE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101849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070BCB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05F5CB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539897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2CE80F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7DAB23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5D991F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7943B3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7DBBD9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4408A9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7F7C1E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/>
          <w:bCs/>
          <w:color w:val="000000"/>
          <w:sz w:val="28"/>
          <w:szCs w:val="28"/>
          <w:lang w:val="ru-RU"/>
        </w:rPr>
        <w:t>Список использованной литературы:</w:t>
      </w:r>
    </w:p>
    <w:p w14:paraId="06347E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1. Законы XII таблиц // Хрестоматия по истории Древнего Рима / Пер. Л.Л. Кофанова. — М., 1987. — Таблицы I–III.</w:t>
      </w:r>
    </w:p>
    <w:p w14:paraId="5152AA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2. Гай. Институции / Пер. Ф. Дыдынского. — М.: Юрайт, 2020. — Кн. 4. О процессуальных формах.</w:t>
      </w:r>
    </w:p>
    <w:p w14:paraId="0A86A5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3. Покровский И.А. История римского права. — М.: Статут, 2014.</w:t>
      </w:r>
    </w:p>
    <w:p w14:paraId="3D57B7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4. Косарев А.И. Римское право. — М.: Юрид. лит., 1986.</w:t>
      </w:r>
    </w:p>
    <w:p w14:paraId="0AC9CF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5. Новицкий И.Б. Основы римского гражданского права. — М.: Юрайт, 2022.</w:t>
      </w:r>
    </w:p>
    <w:p w14:paraId="73CC10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  <w:t>6. Дождев Д.В. Римское частное право. — М.: Норма, 2018.</w:t>
      </w:r>
    </w:p>
    <w:p w14:paraId="5F2B6C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4048FBFC">
      <w:pPr>
        <w:pStyle w:val="4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20" w:afterAutospacing="0" w:line="240" w:lineRule="auto"/>
        <w:ind w:left="0" w:right="0" w:firstLine="680"/>
        <w:jc w:val="both"/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Тюхова Кристина Руслановна–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студент Дальневосточного филиала Российского государственного университета, Хабаровск, Россия.</w:t>
      </w:r>
    </w:p>
    <w:p w14:paraId="3D6F8116">
      <w:pPr>
        <w:pStyle w:val="4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20" w:afterAutospacing="0" w:line="240" w:lineRule="auto"/>
        <w:ind w:left="0" w:firstLine="680"/>
        <w:jc w:val="both"/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Научный руководитель: Бучко Николай Петрович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– заведующий кафедры государственных социально - экономических дисциплин Дальневосточного филиала Российского государственного университета, Хабаровск, Россия.</w:t>
      </w:r>
    </w:p>
    <w:p w14:paraId="76CCA7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6948CF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132C41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2A6AEC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  <w:bookmarkStart w:id="0" w:name="_GoBack"/>
      <w:bookmarkEnd w:id="0"/>
    </w:p>
    <w:p w14:paraId="0FE796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6EF08E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7CBD0D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0F3E1A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p w14:paraId="5AB971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SimSun"/>
          <w:b w:val="0"/>
          <w:bCs w:val="0"/>
          <w:color w:val="000000"/>
          <w:sz w:val="28"/>
          <w:szCs w:val="28"/>
          <w:lang w:val="ru-RU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47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2026-05-25T21:47:54Z</dcterms:created>
  <dc:creator>кристина</dc:creator>
  <cp:lastModifiedBy>кристина</cp:lastModifiedBy>
  <dcterms:modified xsi:type="dcterms:W3CDTF">2026-05-25T22:16:25Z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E2F1E46C55124470B698D7F87AC3718D_13</vt:lpwstr>
  </property>
</Properties>
</file>