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E75" w:rsidRPr="00C41E75" w:rsidRDefault="00C41E75" w:rsidP="00C41E75">
      <w:pPr>
        <w:keepNext/>
        <w:keepLines/>
        <w:spacing w:after="0" w:line="240" w:lineRule="auto"/>
        <w:jc w:val="center"/>
        <w:outlineLvl w:val="0"/>
        <w:rPr>
          <w:rFonts w:ascii="Times New Roman" w:eastAsia="Times New Roman" w:hAnsi="Times New Roman" w:cs="Times New Roman"/>
          <w:bCs/>
          <w:sz w:val="28"/>
          <w:szCs w:val="28"/>
        </w:rPr>
      </w:pPr>
      <w:r w:rsidRPr="00C41E75">
        <w:rPr>
          <w:rFonts w:ascii="Times New Roman" w:eastAsia="Times New Roman" w:hAnsi="Times New Roman" w:cs="Times New Roman"/>
          <w:b/>
          <w:bCs/>
          <w:sz w:val="28"/>
          <w:szCs w:val="28"/>
        </w:rPr>
        <w:t>Анализ расходов бюджета города Москвы</w:t>
      </w:r>
    </w:p>
    <w:p w:rsidR="00C41E75" w:rsidRPr="00C41E75" w:rsidRDefault="00C41E75" w:rsidP="00C41E75">
      <w:pPr>
        <w:keepNext/>
        <w:keepLines/>
        <w:spacing w:after="0" w:line="240" w:lineRule="auto"/>
        <w:jc w:val="center"/>
        <w:outlineLvl w:val="1"/>
        <w:rPr>
          <w:rFonts w:ascii="Times New Roman" w:eastAsia="Times New Roman" w:hAnsi="Times New Roman" w:cs="Times New Roman"/>
          <w:bCs/>
          <w:sz w:val="28"/>
          <w:szCs w:val="28"/>
        </w:rPr>
      </w:pPr>
      <w:bookmarkStart w:id="0" w:name="_Toc230002961"/>
      <w:bookmarkStart w:id="1" w:name="_GoBack"/>
      <w:bookmarkEnd w:id="1"/>
      <w:r w:rsidRPr="00C41E75">
        <w:rPr>
          <w:rFonts w:ascii="Times New Roman" w:eastAsia="Times New Roman" w:hAnsi="Times New Roman" w:cs="Times New Roman"/>
          <w:b/>
          <w:bCs/>
          <w:sz w:val="28"/>
          <w:szCs w:val="28"/>
        </w:rPr>
        <w:t xml:space="preserve"> Общая характеристика бюджета Москвы</w:t>
      </w:r>
      <w:bookmarkEnd w:id="0"/>
    </w:p>
    <w:p w:rsidR="00C41E75" w:rsidRPr="00C41E75" w:rsidRDefault="00C41E75" w:rsidP="00C41E75">
      <w:pPr>
        <w:tabs>
          <w:tab w:val="left" w:pos="0"/>
        </w:tabs>
        <w:spacing w:after="0" w:line="240" w:lineRule="auto"/>
        <w:jc w:val="center"/>
        <w:rPr>
          <w:rFonts w:ascii="Times New Roman" w:eastAsia="Calibri" w:hAnsi="Times New Roman" w:cs="Times New Roman"/>
          <w:b/>
          <w:sz w:val="28"/>
          <w:szCs w:val="28"/>
        </w:rPr>
      </w:pPr>
    </w:p>
    <w:p w:rsidR="00C41E75" w:rsidRPr="00C41E75" w:rsidRDefault="00C41E75" w:rsidP="00C41E75">
      <w:pPr>
        <w:tabs>
          <w:tab w:val="left" w:pos="0"/>
        </w:tabs>
        <w:spacing w:after="0" w:line="240" w:lineRule="auto"/>
        <w:jc w:val="center"/>
        <w:rPr>
          <w:rFonts w:ascii="Times New Roman" w:eastAsia="Calibri" w:hAnsi="Times New Roman" w:cs="Times New Roman"/>
          <w:b/>
          <w:sz w:val="28"/>
          <w:szCs w:val="28"/>
        </w:rPr>
      </w:pPr>
    </w:p>
    <w:p w:rsidR="00C41E75" w:rsidRPr="00C41E75" w:rsidRDefault="00C41E75" w:rsidP="00C41E75">
      <w:pPr>
        <w:tabs>
          <w:tab w:val="left" w:pos="0"/>
        </w:tabs>
        <w:spacing w:after="0" w:line="240" w:lineRule="auto"/>
        <w:jc w:val="center"/>
        <w:rPr>
          <w:rFonts w:ascii="Times New Roman" w:eastAsia="Calibri" w:hAnsi="Times New Roman" w:cs="Times New Roman"/>
          <w:b/>
          <w:sz w:val="28"/>
          <w:szCs w:val="28"/>
        </w:rPr>
      </w:pP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Бюджет города Москвы занимает центральное место в системе региональных финансов Российской Федерации. Экономический потенциал столицы обеспечивает формирование крупнейшего регионального бюджета страны, объем которого сопоставим с бюджетами отдельных государств. Высокий уровень концентрации бизнеса, финансовых институтов, промышленных организаций, объектов торговли и сферы услуг формирует устойчивую налоговую базу, позволяющую обеспечивать значительный объем бюджетных поступлений. Финансовая система города ориентирована на поддержание стабильного социально-экономического развития, модернизацию городской инфраструктуры и повышение качества жизни населения.</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Современная бюджетная политика Москвы строится на принципах программного финансирования, долгосрочного планирования и обеспечения устойчивости городской экономики. Органы государственной власти столицы формируют бюджет с учетом необходимости финансирования масштабных инфраструктурных проектов, социальных обязательств, транспортного развития, цифровой трансформации и обновления коммунального хозяйства. Значительная часть расходов направляется на реализацию государственных программ, охватывающих практически все сферы жизнедеятельности города.</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 xml:space="preserve">Бюджет Москвы утверждается законом города Москвы на очередной финансовый год и плановый период. Формирование бюджетных параметров осуществляется на основании прогноза социально-экономического развития столицы, оценки динамики налоговых поступлений, анализа макроэкономической ситуации и показателей инвестиционной активности. Важным фактором выступает высокая степень самостоятельности столичного </w:t>
      </w:r>
      <w:r w:rsidRPr="00C41E75">
        <w:rPr>
          <w:rFonts w:ascii="Times New Roman" w:eastAsia="Calibri" w:hAnsi="Times New Roman" w:cs="Times New Roman"/>
          <w:sz w:val="28"/>
          <w:szCs w:val="28"/>
        </w:rPr>
        <w:lastRenderedPageBreak/>
        <w:t>бюджета, поскольку доля собственных доходов остается одной из самых высоких среди субъектов Российской Федерации</w:t>
      </w:r>
      <w:r w:rsidRPr="00C41E75">
        <w:rPr>
          <w:rFonts w:ascii="Times New Roman" w:eastAsia="Calibri" w:hAnsi="Times New Roman" w:cs="Times New Roman"/>
          <w:sz w:val="28"/>
          <w:szCs w:val="28"/>
          <w:vertAlign w:val="superscript"/>
        </w:rPr>
        <w:footnoteReference w:id="1"/>
      </w:r>
      <w:r w:rsidRPr="00C41E75">
        <w:rPr>
          <w:rFonts w:ascii="Times New Roman" w:eastAsia="Calibri" w:hAnsi="Times New Roman" w:cs="Times New Roman"/>
          <w:sz w:val="28"/>
          <w:szCs w:val="28"/>
        </w:rPr>
        <w:t>.</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Согласно закону о бюджете города Москвы, объем доходов на 2025 год запланирован на уровне 5,12 трлн рублей, расходы утверждены в сумме 5,58 трлн рублей. Дефицит бюджета прогнозируется в размере 461,1 млрд рублей. На 2026 год доходы должны составить 5,43 трлн рублей, а расходы - 5,78 трлн рублей. В 2027 году ожидается рост доходной части до 5,76 трлн рублей при расходах 5,90 трлн рублей. Снижение размера дефицита в течение планового периода свидетельствует о стремлении органов власти к постепенному укреплению финансовой устойчивости бюджетной системы столицы.</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Таблица 1 - Основные параметры бюджета города Москвы на 2025–2027 годы</w:t>
      </w:r>
    </w:p>
    <w:tbl>
      <w:tblPr>
        <w:tblStyle w:val="a4"/>
        <w:tblW w:w="0" w:type="auto"/>
        <w:jc w:val="center"/>
        <w:tblLook w:val="04A0" w:firstRow="1" w:lastRow="0" w:firstColumn="1" w:lastColumn="0" w:noHBand="0" w:noVBand="1"/>
      </w:tblPr>
      <w:tblGrid>
        <w:gridCol w:w="2248"/>
        <w:gridCol w:w="1097"/>
        <w:gridCol w:w="1097"/>
        <w:gridCol w:w="1097"/>
      </w:tblGrid>
      <w:tr w:rsidR="00C41E75" w:rsidRPr="00C41E75" w:rsidTr="002615D9">
        <w:trPr>
          <w:jc w:val="center"/>
        </w:trPr>
        <w:tc>
          <w:tcPr>
            <w:tcW w:w="0" w:type="auto"/>
            <w:vAlign w:val="center"/>
            <w:hideMark/>
          </w:tcPr>
          <w:p w:rsidR="00C41E75" w:rsidRPr="00C41E75" w:rsidRDefault="00C41E75" w:rsidP="00C41E75">
            <w:pPr>
              <w:jc w:val="center"/>
              <w:rPr>
                <w:bCs/>
                <w:sz w:val="24"/>
                <w:szCs w:val="24"/>
              </w:rPr>
            </w:pPr>
            <w:r w:rsidRPr="00C41E75">
              <w:rPr>
                <w:bCs/>
                <w:sz w:val="24"/>
                <w:szCs w:val="24"/>
              </w:rPr>
              <w:t>Показатель</w:t>
            </w:r>
          </w:p>
        </w:tc>
        <w:tc>
          <w:tcPr>
            <w:tcW w:w="0" w:type="auto"/>
            <w:vAlign w:val="center"/>
            <w:hideMark/>
          </w:tcPr>
          <w:p w:rsidR="00C41E75" w:rsidRPr="00C41E75" w:rsidRDefault="00C41E75" w:rsidP="00C41E75">
            <w:pPr>
              <w:jc w:val="center"/>
              <w:rPr>
                <w:bCs/>
                <w:sz w:val="24"/>
                <w:szCs w:val="24"/>
              </w:rPr>
            </w:pPr>
            <w:r w:rsidRPr="00C41E75">
              <w:rPr>
                <w:bCs/>
                <w:sz w:val="24"/>
                <w:szCs w:val="24"/>
              </w:rPr>
              <w:t>2025 год</w:t>
            </w:r>
          </w:p>
        </w:tc>
        <w:tc>
          <w:tcPr>
            <w:tcW w:w="0" w:type="auto"/>
            <w:vAlign w:val="center"/>
            <w:hideMark/>
          </w:tcPr>
          <w:p w:rsidR="00C41E75" w:rsidRPr="00C41E75" w:rsidRDefault="00C41E75" w:rsidP="00C41E75">
            <w:pPr>
              <w:jc w:val="center"/>
              <w:rPr>
                <w:bCs/>
                <w:sz w:val="24"/>
                <w:szCs w:val="24"/>
              </w:rPr>
            </w:pPr>
            <w:r w:rsidRPr="00C41E75">
              <w:rPr>
                <w:bCs/>
                <w:sz w:val="24"/>
                <w:szCs w:val="24"/>
              </w:rPr>
              <w:t>2026 год</w:t>
            </w:r>
          </w:p>
        </w:tc>
        <w:tc>
          <w:tcPr>
            <w:tcW w:w="0" w:type="auto"/>
            <w:vAlign w:val="center"/>
            <w:hideMark/>
          </w:tcPr>
          <w:p w:rsidR="00C41E75" w:rsidRPr="00C41E75" w:rsidRDefault="00C41E75" w:rsidP="00C41E75">
            <w:pPr>
              <w:jc w:val="center"/>
              <w:rPr>
                <w:bCs/>
                <w:sz w:val="24"/>
                <w:szCs w:val="24"/>
              </w:rPr>
            </w:pPr>
            <w:r w:rsidRPr="00C41E75">
              <w:rPr>
                <w:bCs/>
                <w:sz w:val="24"/>
                <w:szCs w:val="24"/>
              </w:rPr>
              <w:t>2027 год</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Доходы, млрд руб.</w:t>
            </w:r>
          </w:p>
        </w:tc>
        <w:tc>
          <w:tcPr>
            <w:tcW w:w="0" w:type="auto"/>
            <w:vAlign w:val="center"/>
            <w:hideMark/>
          </w:tcPr>
          <w:p w:rsidR="00C41E75" w:rsidRPr="00C41E75" w:rsidRDefault="00C41E75" w:rsidP="00C41E75">
            <w:pPr>
              <w:jc w:val="center"/>
              <w:rPr>
                <w:sz w:val="24"/>
                <w:szCs w:val="24"/>
              </w:rPr>
            </w:pPr>
            <w:r w:rsidRPr="00C41E75">
              <w:rPr>
                <w:sz w:val="24"/>
                <w:szCs w:val="24"/>
              </w:rPr>
              <w:t>5 121,4</w:t>
            </w:r>
          </w:p>
        </w:tc>
        <w:tc>
          <w:tcPr>
            <w:tcW w:w="0" w:type="auto"/>
            <w:vAlign w:val="center"/>
            <w:hideMark/>
          </w:tcPr>
          <w:p w:rsidR="00C41E75" w:rsidRPr="00C41E75" w:rsidRDefault="00C41E75" w:rsidP="00C41E75">
            <w:pPr>
              <w:jc w:val="center"/>
              <w:rPr>
                <w:sz w:val="24"/>
                <w:szCs w:val="24"/>
              </w:rPr>
            </w:pPr>
            <w:r w:rsidRPr="00C41E75">
              <w:rPr>
                <w:sz w:val="24"/>
                <w:szCs w:val="24"/>
              </w:rPr>
              <w:t>5 430,3</w:t>
            </w:r>
          </w:p>
        </w:tc>
        <w:tc>
          <w:tcPr>
            <w:tcW w:w="0" w:type="auto"/>
            <w:vAlign w:val="center"/>
            <w:hideMark/>
          </w:tcPr>
          <w:p w:rsidR="00C41E75" w:rsidRPr="00C41E75" w:rsidRDefault="00C41E75" w:rsidP="00C41E75">
            <w:pPr>
              <w:jc w:val="center"/>
              <w:rPr>
                <w:sz w:val="24"/>
                <w:szCs w:val="24"/>
              </w:rPr>
            </w:pPr>
            <w:r w:rsidRPr="00C41E75">
              <w:rPr>
                <w:sz w:val="24"/>
                <w:szCs w:val="24"/>
              </w:rPr>
              <w:t>5 756,1</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Расходы, млрд руб.</w:t>
            </w:r>
          </w:p>
        </w:tc>
        <w:tc>
          <w:tcPr>
            <w:tcW w:w="0" w:type="auto"/>
            <w:vAlign w:val="center"/>
            <w:hideMark/>
          </w:tcPr>
          <w:p w:rsidR="00C41E75" w:rsidRPr="00C41E75" w:rsidRDefault="00C41E75" w:rsidP="00C41E75">
            <w:pPr>
              <w:jc w:val="center"/>
              <w:rPr>
                <w:sz w:val="24"/>
                <w:szCs w:val="24"/>
              </w:rPr>
            </w:pPr>
            <w:r w:rsidRPr="00C41E75">
              <w:rPr>
                <w:sz w:val="24"/>
                <w:szCs w:val="24"/>
              </w:rPr>
              <w:t>5 582,5</w:t>
            </w:r>
          </w:p>
        </w:tc>
        <w:tc>
          <w:tcPr>
            <w:tcW w:w="0" w:type="auto"/>
            <w:vAlign w:val="center"/>
            <w:hideMark/>
          </w:tcPr>
          <w:p w:rsidR="00C41E75" w:rsidRPr="00C41E75" w:rsidRDefault="00C41E75" w:rsidP="00C41E75">
            <w:pPr>
              <w:jc w:val="center"/>
              <w:rPr>
                <w:sz w:val="24"/>
                <w:szCs w:val="24"/>
              </w:rPr>
            </w:pPr>
            <w:r w:rsidRPr="00C41E75">
              <w:rPr>
                <w:sz w:val="24"/>
                <w:szCs w:val="24"/>
              </w:rPr>
              <w:t>5 783,4</w:t>
            </w:r>
          </w:p>
        </w:tc>
        <w:tc>
          <w:tcPr>
            <w:tcW w:w="0" w:type="auto"/>
            <w:vAlign w:val="center"/>
            <w:hideMark/>
          </w:tcPr>
          <w:p w:rsidR="00C41E75" w:rsidRPr="00C41E75" w:rsidRDefault="00C41E75" w:rsidP="00C41E75">
            <w:pPr>
              <w:jc w:val="center"/>
              <w:rPr>
                <w:sz w:val="24"/>
                <w:szCs w:val="24"/>
              </w:rPr>
            </w:pPr>
            <w:r w:rsidRPr="00C41E75">
              <w:rPr>
                <w:sz w:val="24"/>
                <w:szCs w:val="24"/>
              </w:rPr>
              <w:t>5 900,7</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Дефицит, млрд руб.</w:t>
            </w:r>
          </w:p>
        </w:tc>
        <w:tc>
          <w:tcPr>
            <w:tcW w:w="0" w:type="auto"/>
            <w:vAlign w:val="center"/>
            <w:hideMark/>
          </w:tcPr>
          <w:p w:rsidR="00C41E75" w:rsidRPr="00C41E75" w:rsidRDefault="00C41E75" w:rsidP="00C41E75">
            <w:pPr>
              <w:jc w:val="center"/>
              <w:rPr>
                <w:sz w:val="24"/>
                <w:szCs w:val="24"/>
              </w:rPr>
            </w:pPr>
            <w:r w:rsidRPr="00C41E75">
              <w:rPr>
                <w:sz w:val="24"/>
                <w:szCs w:val="24"/>
              </w:rPr>
              <w:t>461,1</w:t>
            </w:r>
          </w:p>
        </w:tc>
        <w:tc>
          <w:tcPr>
            <w:tcW w:w="0" w:type="auto"/>
            <w:vAlign w:val="center"/>
            <w:hideMark/>
          </w:tcPr>
          <w:p w:rsidR="00C41E75" w:rsidRPr="00C41E75" w:rsidRDefault="00C41E75" w:rsidP="00C41E75">
            <w:pPr>
              <w:jc w:val="center"/>
              <w:rPr>
                <w:sz w:val="24"/>
                <w:szCs w:val="24"/>
              </w:rPr>
            </w:pPr>
            <w:r w:rsidRPr="00C41E75">
              <w:rPr>
                <w:sz w:val="24"/>
                <w:szCs w:val="24"/>
              </w:rPr>
              <w:t>353,1</w:t>
            </w:r>
          </w:p>
        </w:tc>
        <w:tc>
          <w:tcPr>
            <w:tcW w:w="0" w:type="auto"/>
            <w:vAlign w:val="center"/>
            <w:hideMark/>
          </w:tcPr>
          <w:p w:rsidR="00C41E75" w:rsidRPr="00C41E75" w:rsidRDefault="00C41E75" w:rsidP="00C41E75">
            <w:pPr>
              <w:jc w:val="center"/>
              <w:rPr>
                <w:sz w:val="24"/>
                <w:szCs w:val="24"/>
              </w:rPr>
            </w:pPr>
            <w:r w:rsidRPr="00C41E75">
              <w:rPr>
                <w:sz w:val="24"/>
                <w:szCs w:val="24"/>
              </w:rPr>
              <w:t>144,6</w:t>
            </w:r>
          </w:p>
        </w:tc>
      </w:tr>
    </w:tbl>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Рост доходов бюджета обусловлен устойчивым развитием экономики Москвы. Столица формирует около одной пятой валового внутреннего продукта Российской Федерации. На территории города сосредоточено значительное количество крупнейших российских компаний, банковских организаций, страховых компаний и предприятий сферы высоких технологий. Экономическая активность обеспечивает стабильный рост налоговых поступлений, что позволяет поддерживать высокий уровень бюджетных расходов.</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 xml:space="preserve">Ключевым источником формирования доходной части бюджета Москвы выступают налоговые поступления. Их доля превышает 90 % общего объема доходов. Наибольшее значение имеет налог на доходы физических лиц, который формируется за счет высокой численности трудоспособного населения и значительного уровня заработной платы в столице. </w:t>
      </w:r>
      <w:r w:rsidRPr="00C41E75">
        <w:rPr>
          <w:rFonts w:ascii="Times New Roman" w:eastAsia="Calibri" w:hAnsi="Times New Roman" w:cs="Times New Roman"/>
          <w:sz w:val="28"/>
          <w:szCs w:val="28"/>
        </w:rPr>
        <w:lastRenderedPageBreak/>
        <w:t>Существенный объем доходов обеспечивает налог на прибыль организаций, поскольку Москва остается крупнейшим финансовым и деловым центром страны.</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Поступления от налога на доходы физических лиц в 2025 году прогнозируются на уровне 2,33 трлн рублей. Доходы от налога на прибыль организаций составят 1,58 трлн рублей. Существенную роль играют поступления от упрощенной системы налогообложения, имущественных налогов, налога на профессиональный доход и торгового сбора.</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Таблица 2 – Структура налоговых доходов бюджета Москвы в 2025 году</w:t>
      </w:r>
    </w:p>
    <w:tbl>
      <w:tblPr>
        <w:tblStyle w:val="a4"/>
        <w:tblW w:w="0" w:type="auto"/>
        <w:jc w:val="center"/>
        <w:tblLook w:val="04A0" w:firstRow="1" w:lastRow="0" w:firstColumn="1" w:lastColumn="0" w:noHBand="0" w:noVBand="1"/>
      </w:tblPr>
      <w:tblGrid>
        <w:gridCol w:w="4266"/>
        <w:gridCol w:w="2010"/>
      </w:tblGrid>
      <w:tr w:rsidR="00C41E75" w:rsidRPr="00C41E75" w:rsidTr="002615D9">
        <w:trPr>
          <w:jc w:val="center"/>
        </w:trPr>
        <w:tc>
          <w:tcPr>
            <w:tcW w:w="0" w:type="auto"/>
            <w:vAlign w:val="center"/>
            <w:hideMark/>
          </w:tcPr>
          <w:p w:rsidR="00C41E75" w:rsidRPr="00C41E75" w:rsidRDefault="00C41E75" w:rsidP="00C41E75">
            <w:pPr>
              <w:jc w:val="center"/>
              <w:rPr>
                <w:bCs/>
                <w:sz w:val="24"/>
                <w:szCs w:val="24"/>
              </w:rPr>
            </w:pPr>
            <w:r w:rsidRPr="00C41E75">
              <w:rPr>
                <w:bCs/>
                <w:sz w:val="24"/>
                <w:szCs w:val="24"/>
              </w:rPr>
              <w:t>Вид налоговых доходов</w:t>
            </w:r>
          </w:p>
        </w:tc>
        <w:tc>
          <w:tcPr>
            <w:tcW w:w="0" w:type="auto"/>
            <w:vAlign w:val="center"/>
            <w:hideMark/>
          </w:tcPr>
          <w:p w:rsidR="00C41E75" w:rsidRPr="00C41E75" w:rsidRDefault="00C41E75" w:rsidP="00C41E75">
            <w:pPr>
              <w:jc w:val="center"/>
              <w:rPr>
                <w:bCs/>
                <w:sz w:val="24"/>
                <w:szCs w:val="24"/>
              </w:rPr>
            </w:pPr>
            <w:r w:rsidRPr="00C41E75">
              <w:rPr>
                <w:bCs/>
                <w:sz w:val="24"/>
                <w:szCs w:val="24"/>
              </w:rPr>
              <w:t>Объем, млрд руб.</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Налог на доходы физических лиц</w:t>
            </w:r>
          </w:p>
        </w:tc>
        <w:tc>
          <w:tcPr>
            <w:tcW w:w="0" w:type="auto"/>
            <w:vAlign w:val="center"/>
            <w:hideMark/>
          </w:tcPr>
          <w:p w:rsidR="00C41E75" w:rsidRPr="00C41E75" w:rsidRDefault="00C41E75" w:rsidP="00C41E75">
            <w:pPr>
              <w:jc w:val="center"/>
              <w:rPr>
                <w:sz w:val="24"/>
                <w:szCs w:val="24"/>
              </w:rPr>
            </w:pPr>
            <w:r w:rsidRPr="00C41E75">
              <w:rPr>
                <w:sz w:val="24"/>
                <w:szCs w:val="24"/>
              </w:rPr>
              <w:t>2 329,9</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Налог на прибыль организаций</w:t>
            </w:r>
          </w:p>
        </w:tc>
        <w:tc>
          <w:tcPr>
            <w:tcW w:w="0" w:type="auto"/>
            <w:vAlign w:val="center"/>
            <w:hideMark/>
          </w:tcPr>
          <w:p w:rsidR="00C41E75" w:rsidRPr="00C41E75" w:rsidRDefault="00C41E75" w:rsidP="00C41E75">
            <w:pPr>
              <w:jc w:val="center"/>
              <w:rPr>
                <w:sz w:val="24"/>
                <w:szCs w:val="24"/>
              </w:rPr>
            </w:pPr>
            <w:r w:rsidRPr="00C41E75">
              <w:rPr>
                <w:sz w:val="24"/>
                <w:szCs w:val="24"/>
              </w:rPr>
              <w:t>1 581,5</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Упрощенная система налогообложения</w:t>
            </w:r>
          </w:p>
        </w:tc>
        <w:tc>
          <w:tcPr>
            <w:tcW w:w="0" w:type="auto"/>
            <w:vAlign w:val="center"/>
            <w:hideMark/>
          </w:tcPr>
          <w:p w:rsidR="00C41E75" w:rsidRPr="00C41E75" w:rsidRDefault="00C41E75" w:rsidP="00C41E75">
            <w:pPr>
              <w:jc w:val="center"/>
              <w:rPr>
                <w:sz w:val="24"/>
                <w:szCs w:val="24"/>
              </w:rPr>
            </w:pPr>
            <w:r w:rsidRPr="00C41E75">
              <w:rPr>
                <w:sz w:val="24"/>
                <w:szCs w:val="24"/>
              </w:rPr>
              <w:t>321,4</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Налог на имущество организаций</w:t>
            </w:r>
          </w:p>
        </w:tc>
        <w:tc>
          <w:tcPr>
            <w:tcW w:w="0" w:type="auto"/>
            <w:vAlign w:val="center"/>
            <w:hideMark/>
          </w:tcPr>
          <w:p w:rsidR="00C41E75" w:rsidRPr="00C41E75" w:rsidRDefault="00C41E75" w:rsidP="00C41E75">
            <w:pPr>
              <w:jc w:val="center"/>
              <w:rPr>
                <w:sz w:val="24"/>
                <w:szCs w:val="24"/>
              </w:rPr>
            </w:pPr>
            <w:r w:rsidRPr="00C41E75">
              <w:rPr>
                <w:sz w:val="24"/>
                <w:szCs w:val="24"/>
              </w:rPr>
              <w:t>206,8</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Налог на профессиональный доход</w:t>
            </w:r>
          </w:p>
        </w:tc>
        <w:tc>
          <w:tcPr>
            <w:tcW w:w="0" w:type="auto"/>
            <w:vAlign w:val="center"/>
            <w:hideMark/>
          </w:tcPr>
          <w:p w:rsidR="00C41E75" w:rsidRPr="00C41E75" w:rsidRDefault="00C41E75" w:rsidP="00C41E75">
            <w:pPr>
              <w:jc w:val="center"/>
              <w:rPr>
                <w:sz w:val="24"/>
                <w:szCs w:val="24"/>
              </w:rPr>
            </w:pPr>
            <w:r w:rsidRPr="00C41E75">
              <w:rPr>
                <w:sz w:val="24"/>
                <w:szCs w:val="24"/>
              </w:rPr>
              <w:t>17,4</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Торговый сбор</w:t>
            </w:r>
          </w:p>
        </w:tc>
        <w:tc>
          <w:tcPr>
            <w:tcW w:w="0" w:type="auto"/>
            <w:vAlign w:val="center"/>
            <w:hideMark/>
          </w:tcPr>
          <w:p w:rsidR="00C41E75" w:rsidRPr="00C41E75" w:rsidRDefault="00C41E75" w:rsidP="00C41E75">
            <w:pPr>
              <w:jc w:val="center"/>
              <w:rPr>
                <w:sz w:val="24"/>
                <w:szCs w:val="24"/>
              </w:rPr>
            </w:pPr>
            <w:r w:rsidRPr="00C41E75">
              <w:rPr>
                <w:sz w:val="24"/>
                <w:szCs w:val="24"/>
              </w:rPr>
              <w:t>11,7</w:t>
            </w:r>
          </w:p>
        </w:tc>
      </w:tr>
    </w:tbl>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Высокий уровень поступлений по налогу на доходы физических лиц отражает состояние московского рынка труда. Среднемесячная заработная плата в столице существенно превышает среднероссийский показатель. Развитие сектора информационных технологий, финансовой сферы, торговли и профессиональных услуг способствует дальнейшему увеличению фонда оплаты труда и росту бюджетных доходов.</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 xml:space="preserve">Существенное влияние на бюджетную систему Москвы оказывает развитие малого и среднего предпринимательства. В городе зарегистрировано более 900 тысяч субъектов малого и среднего бизнеса. Малые предприятия формируют значительную часть рабочих мест и обеспечивают поступления по специальным налоговым режимам. Увеличение числа </w:t>
      </w:r>
      <w:proofErr w:type="spellStart"/>
      <w:r w:rsidRPr="00C41E75">
        <w:rPr>
          <w:rFonts w:ascii="Times New Roman" w:eastAsia="Calibri" w:hAnsi="Times New Roman" w:cs="Times New Roman"/>
          <w:sz w:val="28"/>
          <w:szCs w:val="28"/>
        </w:rPr>
        <w:t>самозанятых</w:t>
      </w:r>
      <w:proofErr w:type="spellEnd"/>
      <w:r w:rsidRPr="00C41E75">
        <w:rPr>
          <w:rFonts w:ascii="Times New Roman" w:eastAsia="Calibri" w:hAnsi="Times New Roman" w:cs="Times New Roman"/>
          <w:sz w:val="28"/>
          <w:szCs w:val="28"/>
        </w:rPr>
        <w:t xml:space="preserve"> граждан способствует росту поступлений налога на профессиональный доход.</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 xml:space="preserve">Неналоговые доходы бюджета Москвы включают доходы от использования государственного имущества, аренды земельных участков, продажи имущества, административных платежей и штрафов. Несмотря на </w:t>
      </w:r>
      <w:r w:rsidRPr="00C41E75">
        <w:rPr>
          <w:rFonts w:ascii="Times New Roman" w:eastAsia="Calibri" w:hAnsi="Times New Roman" w:cs="Times New Roman"/>
          <w:sz w:val="28"/>
          <w:szCs w:val="28"/>
        </w:rPr>
        <w:lastRenderedPageBreak/>
        <w:t>меньшую долю в общей структуре поступлений, данные источники остаются важным элементом формирования городской финансовой системы.</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Особенностью бюджета Москвы выступает высокая степень программной ориентации расходов. Финансирование осуществляется преимущественно через государственные программы города. Подобный подход позволяет обеспечить контроль за достижением целевых показателей и повысить результативность расходования бюджетных средств.</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Наибольший объем расходов приходится на социальную сферу. Финансирование здравоохранения, образования, социальной поддержки населения, культуры и спорта занимает более половины общего объема расходов бюджета. Подобная структура обусловлена высокой численностью населения столицы и необходимостью обеспечения доступности социальных услуг.</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Расходы на социальную поддержку населения включают выплаты семьям с детьми, пенсионерам, гражданам с инвалидностью, малообеспеченным категориям населения и участникам специальных социальных программ. В условиях роста цен и инфляционных процессов органы власти Москвы сохраняют курс на поддержку уровня жизни населения.</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Таблица 3 – Структура расходов бюджета Москвы по основным направлениям в 2025 году</w:t>
      </w:r>
    </w:p>
    <w:tbl>
      <w:tblPr>
        <w:tblStyle w:val="a4"/>
        <w:tblW w:w="0" w:type="auto"/>
        <w:jc w:val="center"/>
        <w:tblLook w:val="04A0" w:firstRow="1" w:lastRow="0" w:firstColumn="1" w:lastColumn="0" w:noHBand="0" w:noVBand="1"/>
      </w:tblPr>
      <w:tblGrid>
        <w:gridCol w:w="3879"/>
        <w:gridCol w:w="2010"/>
      </w:tblGrid>
      <w:tr w:rsidR="00C41E75" w:rsidRPr="00C41E75" w:rsidTr="002615D9">
        <w:trPr>
          <w:jc w:val="center"/>
        </w:trPr>
        <w:tc>
          <w:tcPr>
            <w:tcW w:w="0" w:type="auto"/>
            <w:vAlign w:val="center"/>
            <w:hideMark/>
          </w:tcPr>
          <w:p w:rsidR="00C41E75" w:rsidRPr="00C41E75" w:rsidRDefault="00C41E75" w:rsidP="00C41E75">
            <w:pPr>
              <w:jc w:val="center"/>
              <w:rPr>
                <w:bCs/>
                <w:sz w:val="24"/>
                <w:szCs w:val="24"/>
              </w:rPr>
            </w:pPr>
            <w:r w:rsidRPr="00C41E75">
              <w:rPr>
                <w:bCs/>
                <w:sz w:val="24"/>
                <w:szCs w:val="24"/>
              </w:rPr>
              <w:t>Направление расходов</w:t>
            </w:r>
          </w:p>
        </w:tc>
        <w:tc>
          <w:tcPr>
            <w:tcW w:w="0" w:type="auto"/>
            <w:vAlign w:val="center"/>
            <w:hideMark/>
          </w:tcPr>
          <w:p w:rsidR="00C41E75" w:rsidRPr="00C41E75" w:rsidRDefault="00C41E75" w:rsidP="00C41E75">
            <w:pPr>
              <w:jc w:val="center"/>
              <w:rPr>
                <w:bCs/>
                <w:sz w:val="24"/>
                <w:szCs w:val="24"/>
              </w:rPr>
            </w:pPr>
            <w:r w:rsidRPr="00C41E75">
              <w:rPr>
                <w:bCs/>
                <w:sz w:val="24"/>
                <w:szCs w:val="24"/>
              </w:rPr>
              <w:t>Объем, млрд руб.</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Социальная поддержка населения</w:t>
            </w:r>
          </w:p>
        </w:tc>
        <w:tc>
          <w:tcPr>
            <w:tcW w:w="0" w:type="auto"/>
            <w:vAlign w:val="center"/>
            <w:hideMark/>
          </w:tcPr>
          <w:p w:rsidR="00C41E75" w:rsidRPr="00C41E75" w:rsidRDefault="00C41E75" w:rsidP="00C41E75">
            <w:pPr>
              <w:jc w:val="center"/>
              <w:rPr>
                <w:sz w:val="24"/>
                <w:szCs w:val="24"/>
              </w:rPr>
            </w:pPr>
            <w:r w:rsidRPr="00C41E75">
              <w:rPr>
                <w:sz w:val="24"/>
                <w:szCs w:val="24"/>
              </w:rPr>
              <w:t>927,4</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Транспортная система</w:t>
            </w:r>
          </w:p>
        </w:tc>
        <w:tc>
          <w:tcPr>
            <w:tcW w:w="0" w:type="auto"/>
            <w:vAlign w:val="center"/>
            <w:hideMark/>
          </w:tcPr>
          <w:p w:rsidR="00C41E75" w:rsidRPr="00C41E75" w:rsidRDefault="00C41E75" w:rsidP="00C41E75">
            <w:pPr>
              <w:jc w:val="center"/>
              <w:rPr>
                <w:sz w:val="24"/>
                <w:szCs w:val="24"/>
              </w:rPr>
            </w:pPr>
            <w:r w:rsidRPr="00C41E75">
              <w:rPr>
                <w:sz w:val="24"/>
                <w:szCs w:val="24"/>
              </w:rPr>
              <w:t>1 067,3</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Здравоохранение</w:t>
            </w:r>
          </w:p>
        </w:tc>
        <w:tc>
          <w:tcPr>
            <w:tcW w:w="0" w:type="auto"/>
            <w:vAlign w:val="center"/>
            <w:hideMark/>
          </w:tcPr>
          <w:p w:rsidR="00C41E75" w:rsidRPr="00C41E75" w:rsidRDefault="00C41E75" w:rsidP="00C41E75">
            <w:pPr>
              <w:jc w:val="center"/>
              <w:rPr>
                <w:sz w:val="24"/>
                <w:szCs w:val="24"/>
              </w:rPr>
            </w:pPr>
            <w:r w:rsidRPr="00C41E75">
              <w:rPr>
                <w:sz w:val="24"/>
                <w:szCs w:val="24"/>
              </w:rPr>
              <w:t>1 105,8</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Образование</w:t>
            </w:r>
          </w:p>
        </w:tc>
        <w:tc>
          <w:tcPr>
            <w:tcW w:w="0" w:type="auto"/>
            <w:vAlign w:val="center"/>
            <w:hideMark/>
          </w:tcPr>
          <w:p w:rsidR="00C41E75" w:rsidRPr="00C41E75" w:rsidRDefault="00C41E75" w:rsidP="00C41E75">
            <w:pPr>
              <w:jc w:val="center"/>
              <w:rPr>
                <w:sz w:val="24"/>
                <w:szCs w:val="24"/>
              </w:rPr>
            </w:pPr>
            <w:r w:rsidRPr="00C41E75">
              <w:rPr>
                <w:sz w:val="24"/>
                <w:szCs w:val="24"/>
              </w:rPr>
              <w:t>692,1</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Жилищно-коммунальное хозяйство</w:t>
            </w:r>
          </w:p>
        </w:tc>
        <w:tc>
          <w:tcPr>
            <w:tcW w:w="0" w:type="auto"/>
            <w:vAlign w:val="center"/>
            <w:hideMark/>
          </w:tcPr>
          <w:p w:rsidR="00C41E75" w:rsidRPr="00C41E75" w:rsidRDefault="00C41E75" w:rsidP="00C41E75">
            <w:pPr>
              <w:jc w:val="center"/>
              <w:rPr>
                <w:sz w:val="24"/>
                <w:szCs w:val="24"/>
              </w:rPr>
            </w:pPr>
            <w:r w:rsidRPr="00C41E75">
              <w:rPr>
                <w:sz w:val="24"/>
                <w:szCs w:val="24"/>
              </w:rPr>
              <w:t>384,5</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Культура и спорт</w:t>
            </w:r>
          </w:p>
        </w:tc>
        <w:tc>
          <w:tcPr>
            <w:tcW w:w="0" w:type="auto"/>
            <w:vAlign w:val="center"/>
            <w:hideMark/>
          </w:tcPr>
          <w:p w:rsidR="00C41E75" w:rsidRPr="00C41E75" w:rsidRDefault="00C41E75" w:rsidP="00C41E75">
            <w:pPr>
              <w:jc w:val="center"/>
              <w:rPr>
                <w:sz w:val="24"/>
                <w:szCs w:val="24"/>
              </w:rPr>
            </w:pPr>
            <w:r w:rsidRPr="00C41E75">
              <w:rPr>
                <w:sz w:val="24"/>
                <w:szCs w:val="24"/>
              </w:rPr>
              <w:t>156,7</w:t>
            </w:r>
          </w:p>
        </w:tc>
      </w:tr>
    </w:tbl>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 xml:space="preserve">Одним из крупнейших направлений финансирования остается здравоохранение. Москва реализует масштабную программу модернизации медицинской инфраструктуры. В городе осуществляется строительство новых медицинских центров, обновление поликлиник, внедрение цифровых </w:t>
      </w:r>
      <w:r w:rsidRPr="00C41E75">
        <w:rPr>
          <w:rFonts w:ascii="Times New Roman" w:eastAsia="Calibri" w:hAnsi="Times New Roman" w:cs="Times New Roman"/>
          <w:sz w:val="28"/>
          <w:szCs w:val="28"/>
        </w:rPr>
        <w:lastRenderedPageBreak/>
        <w:t>технологий и развитие системы высокотехнологичной медицинской помощи. Финансирование здравоохранения превышает 1 трлн рублей, что делает данное направление одним из ключевых приоритетов городской политики.</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Система образования Москвы также характеризуется значительным объемом финансирования. Бюджетные средства направляются на строительство школ и детских садов, модернизацию образовательной инфраструктуры, внедрение цифровых технологий и поддержку педагогических работников. Столица сохраняет лидирующие позиции по уровню оснащенности образовательных учреждений.</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Существенную роль в структуре расходов играет транспортный комплекс. Москва реализует масштабные проекты по развитию метрополитена, Московских центральных диаметров, дорожной сети и общественного транспорта. Инвестиции в транспортную инфраструктуру направлены на снижение нагрузки на дорожную сеть, повышение мобильности населения и улучшение экологической ситуации.</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Одним из крупнейших проектов остается расширение сети метро. За последние годы в столице введены десятки новых станций, построены новые линии и транспортно-пересадочные узлы. Реализация данных проектов требует значительных бюджетных вложений, однако развитие транспортной системы оказывает положительное влияние на экономическую активность города.</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Таблица 4 – Финансирование транспортной системы Москвы</w:t>
      </w:r>
    </w:p>
    <w:tbl>
      <w:tblPr>
        <w:tblStyle w:val="a4"/>
        <w:tblW w:w="0" w:type="auto"/>
        <w:jc w:val="center"/>
        <w:tblLook w:val="04A0" w:firstRow="1" w:lastRow="0" w:firstColumn="1" w:lastColumn="0" w:noHBand="0" w:noVBand="1"/>
      </w:tblPr>
      <w:tblGrid>
        <w:gridCol w:w="3906"/>
        <w:gridCol w:w="2213"/>
      </w:tblGrid>
      <w:tr w:rsidR="00C41E75" w:rsidRPr="00C41E75" w:rsidTr="002615D9">
        <w:trPr>
          <w:jc w:val="center"/>
        </w:trPr>
        <w:tc>
          <w:tcPr>
            <w:tcW w:w="0" w:type="auto"/>
            <w:vAlign w:val="center"/>
            <w:hideMark/>
          </w:tcPr>
          <w:p w:rsidR="00C41E75" w:rsidRPr="00C41E75" w:rsidRDefault="00C41E75" w:rsidP="00C41E75">
            <w:pPr>
              <w:jc w:val="center"/>
              <w:rPr>
                <w:bCs/>
                <w:sz w:val="24"/>
                <w:szCs w:val="24"/>
              </w:rPr>
            </w:pPr>
            <w:r w:rsidRPr="00C41E75">
              <w:rPr>
                <w:bCs/>
                <w:sz w:val="24"/>
                <w:szCs w:val="24"/>
              </w:rPr>
              <w:t>Направление</w:t>
            </w:r>
          </w:p>
        </w:tc>
        <w:tc>
          <w:tcPr>
            <w:tcW w:w="0" w:type="auto"/>
            <w:vAlign w:val="center"/>
            <w:hideMark/>
          </w:tcPr>
          <w:p w:rsidR="00C41E75" w:rsidRPr="00C41E75" w:rsidRDefault="00C41E75" w:rsidP="00C41E75">
            <w:pPr>
              <w:jc w:val="center"/>
              <w:rPr>
                <w:bCs/>
                <w:sz w:val="24"/>
                <w:szCs w:val="24"/>
              </w:rPr>
            </w:pPr>
            <w:r w:rsidRPr="00C41E75">
              <w:rPr>
                <w:bCs/>
                <w:sz w:val="24"/>
                <w:szCs w:val="24"/>
              </w:rPr>
              <w:t>2025 год, млрд руб.</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Развитие метро</w:t>
            </w:r>
          </w:p>
        </w:tc>
        <w:tc>
          <w:tcPr>
            <w:tcW w:w="0" w:type="auto"/>
            <w:vAlign w:val="center"/>
            <w:hideMark/>
          </w:tcPr>
          <w:p w:rsidR="00C41E75" w:rsidRPr="00C41E75" w:rsidRDefault="00C41E75" w:rsidP="00C41E75">
            <w:pPr>
              <w:jc w:val="center"/>
              <w:rPr>
                <w:sz w:val="24"/>
                <w:szCs w:val="24"/>
              </w:rPr>
            </w:pPr>
            <w:r w:rsidRPr="00C41E75">
              <w:rPr>
                <w:sz w:val="24"/>
                <w:szCs w:val="24"/>
              </w:rPr>
              <w:t>412,6</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Строительство дорог</w:t>
            </w:r>
          </w:p>
        </w:tc>
        <w:tc>
          <w:tcPr>
            <w:tcW w:w="0" w:type="auto"/>
            <w:vAlign w:val="center"/>
            <w:hideMark/>
          </w:tcPr>
          <w:p w:rsidR="00C41E75" w:rsidRPr="00C41E75" w:rsidRDefault="00C41E75" w:rsidP="00C41E75">
            <w:pPr>
              <w:jc w:val="center"/>
              <w:rPr>
                <w:sz w:val="24"/>
                <w:szCs w:val="24"/>
              </w:rPr>
            </w:pPr>
            <w:r w:rsidRPr="00C41E75">
              <w:rPr>
                <w:sz w:val="24"/>
                <w:szCs w:val="24"/>
              </w:rPr>
              <w:t>188,4</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Московские центральные диаметры</w:t>
            </w:r>
          </w:p>
        </w:tc>
        <w:tc>
          <w:tcPr>
            <w:tcW w:w="0" w:type="auto"/>
            <w:vAlign w:val="center"/>
            <w:hideMark/>
          </w:tcPr>
          <w:p w:rsidR="00C41E75" w:rsidRPr="00C41E75" w:rsidRDefault="00C41E75" w:rsidP="00C41E75">
            <w:pPr>
              <w:jc w:val="center"/>
              <w:rPr>
                <w:sz w:val="24"/>
                <w:szCs w:val="24"/>
              </w:rPr>
            </w:pPr>
            <w:r w:rsidRPr="00C41E75">
              <w:rPr>
                <w:sz w:val="24"/>
                <w:szCs w:val="24"/>
              </w:rPr>
              <w:t>96,5</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Общественный транспорт</w:t>
            </w:r>
          </w:p>
        </w:tc>
        <w:tc>
          <w:tcPr>
            <w:tcW w:w="0" w:type="auto"/>
            <w:vAlign w:val="center"/>
            <w:hideMark/>
          </w:tcPr>
          <w:p w:rsidR="00C41E75" w:rsidRPr="00C41E75" w:rsidRDefault="00C41E75" w:rsidP="00C41E75">
            <w:pPr>
              <w:jc w:val="center"/>
              <w:rPr>
                <w:sz w:val="24"/>
                <w:szCs w:val="24"/>
              </w:rPr>
            </w:pPr>
            <w:r w:rsidRPr="00C41E75">
              <w:rPr>
                <w:sz w:val="24"/>
                <w:szCs w:val="24"/>
              </w:rPr>
              <w:t>214,3</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Цифровые транспортные системы</w:t>
            </w:r>
          </w:p>
        </w:tc>
        <w:tc>
          <w:tcPr>
            <w:tcW w:w="0" w:type="auto"/>
            <w:vAlign w:val="center"/>
            <w:hideMark/>
          </w:tcPr>
          <w:p w:rsidR="00C41E75" w:rsidRPr="00C41E75" w:rsidRDefault="00C41E75" w:rsidP="00C41E75">
            <w:pPr>
              <w:jc w:val="center"/>
              <w:rPr>
                <w:sz w:val="24"/>
                <w:szCs w:val="24"/>
              </w:rPr>
            </w:pPr>
            <w:r w:rsidRPr="00C41E75">
              <w:rPr>
                <w:sz w:val="24"/>
                <w:szCs w:val="24"/>
              </w:rPr>
              <w:t>31,7</w:t>
            </w:r>
          </w:p>
        </w:tc>
      </w:tr>
    </w:tbl>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 xml:space="preserve">Большое значение в бюджетной политике Москвы имеет реализация программы реновации жилищного фонда. Программа предусматривает переселение жителей из устаревшего жилья в современные жилые комплексы. </w:t>
      </w:r>
      <w:r w:rsidRPr="00C41E75">
        <w:rPr>
          <w:rFonts w:ascii="Times New Roman" w:eastAsia="Calibri" w:hAnsi="Times New Roman" w:cs="Times New Roman"/>
          <w:sz w:val="28"/>
          <w:szCs w:val="28"/>
        </w:rPr>
        <w:lastRenderedPageBreak/>
        <w:t>Финансирование направляется на строительство новых домов, инженерной инфраструктуры и социальных объектов. Реализация программы оказывает влияние на строительную отрасль, рынок недвижимости и уровень занятости населения.</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Жилищно-коммунальное хозяйство также остается важным направлением бюджетного финансирования. Средства направляются на благоустройство территорий, ремонт дорог, модернизацию инженерных сетей, содержание дворовых территорий и объектов коммунальной инфраструктуры. Москва сохраняет высокие темпы благоустройства городской среды, что способствует повышению качества жизни населения</w:t>
      </w:r>
      <w:r w:rsidRPr="00C41E75">
        <w:rPr>
          <w:rFonts w:ascii="Times New Roman" w:eastAsia="Calibri" w:hAnsi="Times New Roman" w:cs="Times New Roman"/>
          <w:sz w:val="28"/>
          <w:szCs w:val="28"/>
          <w:vertAlign w:val="superscript"/>
        </w:rPr>
        <w:footnoteReference w:id="2"/>
      </w:r>
      <w:r w:rsidRPr="00C41E75">
        <w:rPr>
          <w:rFonts w:ascii="Times New Roman" w:eastAsia="Calibri" w:hAnsi="Times New Roman" w:cs="Times New Roman"/>
          <w:sz w:val="28"/>
          <w:szCs w:val="28"/>
        </w:rPr>
        <w:t>.</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Важной особенностью бюджета Москвы выступает значительный объем капитальных вложений. Финансирование осуществляется через Адресную инвестиционную программу города Москвы. В рамках программы реализуются проекты строительства транспортных объектов, медицинских учреждений, школ, спортивных комплексов и инженерной инфраструктуры.</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Таблица 5 – Основные направления Адресной инвестиционной программы Москвы</w:t>
      </w:r>
    </w:p>
    <w:tbl>
      <w:tblPr>
        <w:tblStyle w:val="a4"/>
        <w:tblW w:w="0" w:type="auto"/>
        <w:jc w:val="center"/>
        <w:tblLook w:val="04A0" w:firstRow="1" w:lastRow="0" w:firstColumn="1" w:lastColumn="0" w:noHBand="0" w:noVBand="1"/>
      </w:tblPr>
      <w:tblGrid>
        <w:gridCol w:w="3362"/>
        <w:gridCol w:w="3780"/>
      </w:tblGrid>
      <w:tr w:rsidR="00C41E75" w:rsidRPr="00C41E75" w:rsidTr="002615D9">
        <w:trPr>
          <w:jc w:val="center"/>
        </w:trPr>
        <w:tc>
          <w:tcPr>
            <w:tcW w:w="0" w:type="auto"/>
            <w:vAlign w:val="center"/>
            <w:hideMark/>
          </w:tcPr>
          <w:p w:rsidR="00C41E75" w:rsidRPr="00C41E75" w:rsidRDefault="00C41E75" w:rsidP="00C41E75">
            <w:pPr>
              <w:jc w:val="center"/>
              <w:rPr>
                <w:bCs/>
                <w:sz w:val="24"/>
                <w:szCs w:val="24"/>
              </w:rPr>
            </w:pPr>
            <w:r w:rsidRPr="00C41E75">
              <w:rPr>
                <w:bCs/>
                <w:sz w:val="24"/>
                <w:szCs w:val="24"/>
              </w:rPr>
              <w:t>Направление</w:t>
            </w:r>
          </w:p>
        </w:tc>
        <w:tc>
          <w:tcPr>
            <w:tcW w:w="0" w:type="auto"/>
            <w:vAlign w:val="center"/>
            <w:hideMark/>
          </w:tcPr>
          <w:p w:rsidR="00C41E75" w:rsidRPr="00C41E75" w:rsidRDefault="00C41E75" w:rsidP="00C41E75">
            <w:pPr>
              <w:jc w:val="center"/>
              <w:rPr>
                <w:bCs/>
                <w:sz w:val="24"/>
                <w:szCs w:val="24"/>
              </w:rPr>
            </w:pPr>
            <w:r w:rsidRPr="00C41E75">
              <w:rPr>
                <w:bCs/>
                <w:sz w:val="24"/>
                <w:szCs w:val="24"/>
              </w:rPr>
              <w:t>Объем финансирования, млрд руб.</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Транспортная инфраструктура</w:t>
            </w:r>
          </w:p>
        </w:tc>
        <w:tc>
          <w:tcPr>
            <w:tcW w:w="0" w:type="auto"/>
            <w:vAlign w:val="center"/>
            <w:hideMark/>
          </w:tcPr>
          <w:p w:rsidR="00C41E75" w:rsidRPr="00C41E75" w:rsidRDefault="00C41E75" w:rsidP="00C41E75">
            <w:pPr>
              <w:jc w:val="center"/>
              <w:rPr>
                <w:sz w:val="24"/>
                <w:szCs w:val="24"/>
              </w:rPr>
            </w:pPr>
            <w:r w:rsidRPr="00C41E75">
              <w:rPr>
                <w:sz w:val="24"/>
                <w:szCs w:val="24"/>
              </w:rPr>
              <w:t>630,7</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Здравоохранение</w:t>
            </w:r>
          </w:p>
        </w:tc>
        <w:tc>
          <w:tcPr>
            <w:tcW w:w="0" w:type="auto"/>
            <w:vAlign w:val="center"/>
            <w:hideMark/>
          </w:tcPr>
          <w:p w:rsidR="00C41E75" w:rsidRPr="00C41E75" w:rsidRDefault="00C41E75" w:rsidP="00C41E75">
            <w:pPr>
              <w:jc w:val="center"/>
              <w:rPr>
                <w:sz w:val="24"/>
                <w:szCs w:val="24"/>
              </w:rPr>
            </w:pPr>
            <w:r w:rsidRPr="00C41E75">
              <w:rPr>
                <w:sz w:val="24"/>
                <w:szCs w:val="24"/>
              </w:rPr>
              <w:t>84,6</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Образование</w:t>
            </w:r>
          </w:p>
        </w:tc>
        <w:tc>
          <w:tcPr>
            <w:tcW w:w="0" w:type="auto"/>
            <w:vAlign w:val="center"/>
            <w:hideMark/>
          </w:tcPr>
          <w:p w:rsidR="00C41E75" w:rsidRPr="00C41E75" w:rsidRDefault="00C41E75" w:rsidP="00C41E75">
            <w:pPr>
              <w:jc w:val="center"/>
              <w:rPr>
                <w:sz w:val="24"/>
                <w:szCs w:val="24"/>
              </w:rPr>
            </w:pPr>
            <w:r w:rsidRPr="00C41E75">
              <w:rPr>
                <w:sz w:val="24"/>
                <w:szCs w:val="24"/>
              </w:rPr>
              <w:t>73,8</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Жилищное строительство</w:t>
            </w:r>
          </w:p>
        </w:tc>
        <w:tc>
          <w:tcPr>
            <w:tcW w:w="0" w:type="auto"/>
            <w:vAlign w:val="center"/>
            <w:hideMark/>
          </w:tcPr>
          <w:p w:rsidR="00C41E75" w:rsidRPr="00C41E75" w:rsidRDefault="00C41E75" w:rsidP="00C41E75">
            <w:pPr>
              <w:jc w:val="center"/>
              <w:rPr>
                <w:sz w:val="24"/>
                <w:szCs w:val="24"/>
              </w:rPr>
            </w:pPr>
            <w:r w:rsidRPr="00C41E75">
              <w:rPr>
                <w:sz w:val="24"/>
                <w:szCs w:val="24"/>
              </w:rPr>
              <w:t>35,1</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Инженерная инфраструктура</w:t>
            </w:r>
          </w:p>
        </w:tc>
        <w:tc>
          <w:tcPr>
            <w:tcW w:w="0" w:type="auto"/>
            <w:vAlign w:val="center"/>
            <w:hideMark/>
          </w:tcPr>
          <w:p w:rsidR="00C41E75" w:rsidRPr="00C41E75" w:rsidRDefault="00C41E75" w:rsidP="00C41E75">
            <w:pPr>
              <w:jc w:val="center"/>
              <w:rPr>
                <w:sz w:val="24"/>
                <w:szCs w:val="24"/>
              </w:rPr>
            </w:pPr>
            <w:r w:rsidRPr="00C41E75">
              <w:rPr>
                <w:sz w:val="24"/>
                <w:szCs w:val="24"/>
              </w:rPr>
              <w:t>64,4</w:t>
            </w:r>
          </w:p>
        </w:tc>
      </w:tr>
    </w:tbl>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Высокий уровень инвестиционной активности обеспечивает развитие городской экономики и создает дополнительные рабочие места. Реализация инфраструктурных проектов способствует увеличению налоговых поступлений и росту деловой активности.</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 xml:space="preserve">Финансовая устойчивость бюджета Москвы поддерживается сравнительно низким уровнем государственного долга. По отношению к </w:t>
      </w:r>
      <w:r w:rsidRPr="00C41E75">
        <w:rPr>
          <w:rFonts w:ascii="Times New Roman" w:eastAsia="Calibri" w:hAnsi="Times New Roman" w:cs="Times New Roman"/>
          <w:sz w:val="28"/>
          <w:szCs w:val="28"/>
        </w:rPr>
        <w:lastRenderedPageBreak/>
        <w:t>объему доходов долговая нагрузка столицы остается умеренной. Основную часть обязательств составляют государственные облигации и бюджетные кредиты. Низкий уровень долга позволяет городу сохранять возможность привлечения дополнительных финансовых ресурсов при необходимости реализации крупных инвестиционных проектов.</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Таблица 6 – Государственный долг Москвы</w:t>
      </w:r>
    </w:p>
    <w:tbl>
      <w:tblPr>
        <w:tblStyle w:val="a4"/>
        <w:tblW w:w="0" w:type="auto"/>
        <w:jc w:val="center"/>
        <w:tblLook w:val="04A0" w:firstRow="1" w:lastRow="0" w:firstColumn="1" w:lastColumn="0" w:noHBand="0" w:noVBand="1"/>
      </w:tblPr>
      <w:tblGrid>
        <w:gridCol w:w="4653"/>
        <w:gridCol w:w="2516"/>
      </w:tblGrid>
      <w:tr w:rsidR="00C41E75" w:rsidRPr="00C41E75" w:rsidTr="002615D9">
        <w:trPr>
          <w:jc w:val="center"/>
        </w:trPr>
        <w:tc>
          <w:tcPr>
            <w:tcW w:w="0" w:type="auto"/>
            <w:vAlign w:val="center"/>
            <w:hideMark/>
          </w:tcPr>
          <w:p w:rsidR="00C41E75" w:rsidRPr="00C41E75" w:rsidRDefault="00C41E75" w:rsidP="00C41E75">
            <w:pPr>
              <w:jc w:val="center"/>
              <w:rPr>
                <w:bCs/>
                <w:sz w:val="24"/>
                <w:szCs w:val="24"/>
              </w:rPr>
            </w:pPr>
            <w:r w:rsidRPr="00C41E75">
              <w:rPr>
                <w:bCs/>
                <w:sz w:val="24"/>
                <w:szCs w:val="24"/>
              </w:rPr>
              <w:t>Показатель</w:t>
            </w:r>
          </w:p>
        </w:tc>
        <w:tc>
          <w:tcPr>
            <w:tcW w:w="0" w:type="auto"/>
            <w:vAlign w:val="center"/>
            <w:hideMark/>
          </w:tcPr>
          <w:p w:rsidR="00C41E75" w:rsidRPr="00C41E75" w:rsidRDefault="00C41E75" w:rsidP="00C41E75">
            <w:pPr>
              <w:jc w:val="center"/>
              <w:rPr>
                <w:bCs/>
                <w:sz w:val="24"/>
                <w:szCs w:val="24"/>
              </w:rPr>
            </w:pPr>
            <w:r w:rsidRPr="00C41E75">
              <w:rPr>
                <w:bCs/>
                <w:sz w:val="24"/>
                <w:szCs w:val="24"/>
              </w:rPr>
              <w:t>Значение</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Государственный долг на начало 2026 года</w:t>
            </w:r>
          </w:p>
        </w:tc>
        <w:tc>
          <w:tcPr>
            <w:tcW w:w="0" w:type="auto"/>
            <w:vAlign w:val="center"/>
            <w:hideMark/>
          </w:tcPr>
          <w:p w:rsidR="00C41E75" w:rsidRPr="00C41E75" w:rsidRDefault="00C41E75" w:rsidP="00C41E75">
            <w:pPr>
              <w:jc w:val="center"/>
              <w:rPr>
                <w:sz w:val="24"/>
                <w:szCs w:val="24"/>
              </w:rPr>
            </w:pPr>
            <w:r w:rsidRPr="00C41E75">
              <w:rPr>
                <w:sz w:val="24"/>
                <w:szCs w:val="24"/>
              </w:rPr>
              <w:t>208,5 млрд руб.</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Доля долга к доходам бюджета</w:t>
            </w:r>
          </w:p>
        </w:tc>
        <w:tc>
          <w:tcPr>
            <w:tcW w:w="0" w:type="auto"/>
            <w:vAlign w:val="center"/>
            <w:hideMark/>
          </w:tcPr>
          <w:p w:rsidR="00C41E75" w:rsidRPr="00C41E75" w:rsidRDefault="00C41E75" w:rsidP="00C41E75">
            <w:pPr>
              <w:jc w:val="center"/>
              <w:rPr>
                <w:sz w:val="24"/>
                <w:szCs w:val="24"/>
              </w:rPr>
            </w:pPr>
            <w:r w:rsidRPr="00C41E75">
              <w:rPr>
                <w:sz w:val="24"/>
                <w:szCs w:val="24"/>
              </w:rPr>
              <w:t>менее 5 %</w:t>
            </w:r>
          </w:p>
        </w:tc>
      </w:tr>
      <w:tr w:rsidR="00C41E75" w:rsidRPr="00C41E75" w:rsidTr="002615D9">
        <w:trPr>
          <w:jc w:val="center"/>
        </w:trPr>
        <w:tc>
          <w:tcPr>
            <w:tcW w:w="0" w:type="auto"/>
            <w:vAlign w:val="center"/>
            <w:hideMark/>
          </w:tcPr>
          <w:p w:rsidR="00C41E75" w:rsidRPr="00C41E75" w:rsidRDefault="00C41E75" w:rsidP="00C41E75">
            <w:pPr>
              <w:jc w:val="center"/>
              <w:rPr>
                <w:sz w:val="24"/>
                <w:szCs w:val="24"/>
              </w:rPr>
            </w:pPr>
            <w:r w:rsidRPr="00C41E75">
              <w:rPr>
                <w:sz w:val="24"/>
                <w:szCs w:val="24"/>
              </w:rPr>
              <w:t>Основная форма обязательств</w:t>
            </w:r>
          </w:p>
        </w:tc>
        <w:tc>
          <w:tcPr>
            <w:tcW w:w="0" w:type="auto"/>
            <w:vAlign w:val="center"/>
            <w:hideMark/>
          </w:tcPr>
          <w:p w:rsidR="00C41E75" w:rsidRPr="00C41E75" w:rsidRDefault="00C41E75" w:rsidP="00C41E75">
            <w:pPr>
              <w:jc w:val="center"/>
              <w:rPr>
                <w:sz w:val="24"/>
                <w:szCs w:val="24"/>
              </w:rPr>
            </w:pPr>
            <w:r w:rsidRPr="00C41E75">
              <w:rPr>
                <w:sz w:val="24"/>
                <w:szCs w:val="24"/>
              </w:rPr>
              <w:t>облигационные займы</w:t>
            </w:r>
          </w:p>
        </w:tc>
      </w:tr>
    </w:tbl>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 xml:space="preserve">Существенное внимание в Москве уделяется </w:t>
      </w:r>
      <w:proofErr w:type="spellStart"/>
      <w:r w:rsidRPr="00C41E75">
        <w:rPr>
          <w:rFonts w:ascii="Times New Roman" w:eastAsia="Calibri" w:hAnsi="Times New Roman" w:cs="Times New Roman"/>
          <w:sz w:val="28"/>
          <w:szCs w:val="28"/>
        </w:rPr>
        <w:t>цифровизации</w:t>
      </w:r>
      <w:proofErr w:type="spellEnd"/>
      <w:r w:rsidRPr="00C41E75">
        <w:rPr>
          <w:rFonts w:ascii="Times New Roman" w:eastAsia="Calibri" w:hAnsi="Times New Roman" w:cs="Times New Roman"/>
          <w:sz w:val="28"/>
          <w:szCs w:val="28"/>
        </w:rPr>
        <w:t xml:space="preserve"> бюджетного процесса. Использование информационных технологий позволяет повысить прозрачность финансового управления и эффективность контроля за расходованием средств. В городе функционирует система электронного бюджета, обеспечивающая мониторинг исполнения финансовых обязательств и анализ эффективности государственных программ.</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Прозрачность бюджетной системы обеспечивается через портал открытого бюджета Москвы. Население получает доступ к информации о структуре доходов и расходов, реализации государственных программ и результатах исполнения бюджета. Подобный подход способствует повышению доверия граждан к финансовой политике органов власти.</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Экономическая устойчивость Москвы связана с высокой диверсификацией городской экономики. В столице активно развиваются промышленность, торговля, информационные технологии, строительство, логистика, банковская сфера и туризм. Многоотраслевая структура экономики снижает зависимость бюджета от отдельных источников доходов и обеспечивает устойчивость финансовой системы в условиях внешних экономических рисков.</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 xml:space="preserve">Существенное влияние на бюджет оказывает инвестиционная привлекательность города. Москва остается крупнейшим центром притяжения инвестиций в Российской Федерации. Реализация масштабных </w:t>
      </w:r>
      <w:r w:rsidRPr="00C41E75">
        <w:rPr>
          <w:rFonts w:ascii="Times New Roman" w:eastAsia="Calibri" w:hAnsi="Times New Roman" w:cs="Times New Roman"/>
          <w:sz w:val="28"/>
          <w:szCs w:val="28"/>
        </w:rPr>
        <w:lastRenderedPageBreak/>
        <w:t>инфраструктурных проектов способствует росту строительного сектора, развитию промышленности и увеличению налоговой базы.</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Анализ бюджетной политики Москвы показывает, что органы власти ориентируются на обеспечение долгосрочной финансовой устойчивости, поддержку социальной сферы и развитие городской инфраструктуры. Сохранение высокого объема расходов связано с необходимостью поддержания функционирования крупнейшего мегаполиса страны и реализации масштабных инвестиционных программ.</w:t>
      </w:r>
    </w:p>
    <w:p w:rsidR="00C41E75" w:rsidRPr="00C41E75" w:rsidRDefault="00C41E75" w:rsidP="00C41E75">
      <w:pPr>
        <w:tabs>
          <w:tab w:val="left" w:pos="0"/>
        </w:tabs>
        <w:spacing w:after="0" w:line="360" w:lineRule="auto"/>
        <w:ind w:firstLine="709"/>
        <w:jc w:val="both"/>
        <w:rPr>
          <w:rFonts w:ascii="Times New Roman" w:eastAsia="Calibri" w:hAnsi="Times New Roman" w:cs="Times New Roman"/>
          <w:sz w:val="28"/>
          <w:szCs w:val="28"/>
        </w:rPr>
      </w:pPr>
      <w:r w:rsidRPr="00C41E75">
        <w:rPr>
          <w:rFonts w:ascii="Times New Roman" w:eastAsia="Calibri" w:hAnsi="Times New Roman" w:cs="Times New Roman"/>
          <w:sz w:val="28"/>
          <w:szCs w:val="28"/>
        </w:rPr>
        <w:t>Таким образом, бюджет города Москвы представляет собой сложную многоуровневую финансовую систему, обеспечивающую реализацию приоритетных направлений социально-экономического развития столицы. Высокий уровень доходов, устойчивость налоговой базы, значительный объем инвестиций и сравнительно низкая долговая нагрузка создают условия для дальнейшего укрепления финансовой стабильности города и повышения эффективности бюджетной политики.</w:t>
      </w:r>
    </w:p>
    <w:p w:rsidR="00D9218D" w:rsidRDefault="00D9218D"/>
    <w:sectPr w:rsidR="00D9218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C14" w:rsidRDefault="00545C14" w:rsidP="00C41E75">
      <w:pPr>
        <w:spacing w:after="0" w:line="240" w:lineRule="auto"/>
      </w:pPr>
      <w:r>
        <w:separator/>
      </w:r>
    </w:p>
  </w:endnote>
  <w:endnote w:type="continuationSeparator" w:id="0">
    <w:p w:rsidR="00545C14" w:rsidRDefault="00545C14" w:rsidP="00C41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C14" w:rsidRDefault="00545C14" w:rsidP="00C41E75">
      <w:pPr>
        <w:spacing w:after="0" w:line="240" w:lineRule="auto"/>
      </w:pPr>
      <w:r>
        <w:separator/>
      </w:r>
    </w:p>
  </w:footnote>
  <w:footnote w:type="continuationSeparator" w:id="0">
    <w:p w:rsidR="00545C14" w:rsidRDefault="00545C14" w:rsidP="00C41E75">
      <w:pPr>
        <w:spacing w:after="0" w:line="240" w:lineRule="auto"/>
      </w:pPr>
      <w:r>
        <w:continuationSeparator/>
      </w:r>
    </w:p>
  </w:footnote>
  <w:footnote w:id="1">
    <w:p w:rsidR="00C41E75" w:rsidRPr="00085AB3" w:rsidRDefault="00C41E75" w:rsidP="00C41E75">
      <w:pPr>
        <w:tabs>
          <w:tab w:val="left" w:pos="0"/>
        </w:tabs>
        <w:spacing w:after="0" w:line="240" w:lineRule="auto"/>
        <w:jc w:val="both"/>
        <w:rPr>
          <w:rFonts w:ascii="Times New Roman" w:hAnsi="Times New Roman" w:cs="Times New Roman"/>
          <w:sz w:val="28"/>
          <w:szCs w:val="28"/>
        </w:rPr>
      </w:pPr>
      <w:r>
        <w:rPr>
          <w:rStyle w:val="a3"/>
        </w:rPr>
        <w:footnoteRef/>
      </w:r>
      <w:r>
        <w:t xml:space="preserve"> </w:t>
      </w:r>
      <w:r w:rsidRPr="00085AB3">
        <w:rPr>
          <w:rFonts w:ascii="Times New Roman" w:hAnsi="Times New Roman" w:cs="Times New Roman"/>
          <w:sz w:val="24"/>
          <w:szCs w:val="28"/>
        </w:rPr>
        <w:t>Глухов В.В. Финансы: учебник для СПО. М.: Питер, 2024. 480 с.</w:t>
      </w:r>
    </w:p>
  </w:footnote>
  <w:footnote w:id="2">
    <w:p w:rsidR="00C41E75" w:rsidRPr="00085AB3" w:rsidRDefault="00C41E75" w:rsidP="00C41E75">
      <w:pPr>
        <w:tabs>
          <w:tab w:val="left" w:pos="0"/>
        </w:tabs>
        <w:spacing w:after="0" w:line="240" w:lineRule="auto"/>
        <w:jc w:val="both"/>
        <w:rPr>
          <w:rFonts w:ascii="Times New Roman" w:hAnsi="Times New Roman" w:cs="Times New Roman"/>
          <w:sz w:val="28"/>
          <w:szCs w:val="28"/>
        </w:rPr>
      </w:pPr>
      <w:r>
        <w:rPr>
          <w:rStyle w:val="a3"/>
        </w:rPr>
        <w:footnoteRef/>
      </w:r>
      <w:r>
        <w:t xml:space="preserve"> </w:t>
      </w:r>
      <w:r w:rsidRPr="00085AB3">
        <w:rPr>
          <w:rFonts w:ascii="Times New Roman" w:hAnsi="Times New Roman" w:cs="Times New Roman"/>
          <w:sz w:val="24"/>
          <w:szCs w:val="28"/>
        </w:rPr>
        <w:t>Савицкая Г.В. Анализ хозяйственной деятельности: учебник для СПО. М.: Инфра-М, 2020. 480 с.</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79"/>
    <w:rsid w:val="00545C14"/>
    <w:rsid w:val="00561C79"/>
    <w:rsid w:val="00C41E75"/>
    <w:rsid w:val="00D92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FEEF8C-AF08-43A2-AA13-5A58C30F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C41E75"/>
    <w:rPr>
      <w:vertAlign w:val="superscript"/>
    </w:rPr>
  </w:style>
  <w:style w:type="table" w:styleId="a4">
    <w:name w:val="Table Grid"/>
    <w:basedOn w:val="a1"/>
    <w:uiPriority w:val="39"/>
    <w:rsid w:val="00C41E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1914</Words>
  <Characters>10910</Characters>
  <Application>Microsoft Office Word</Application>
  <DocSecurity>0</DocSecurity>
  <Lines>90</Lines>
  <Paragraphs>25</Paragraphs>
  <ScaleCrop>false</ScaleCrop>
  <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Меркурьева Лариса Александровна</dc:creator>
  <cp:keywords/>
  <dc:description/>
  <cp:lastModifiedBy>Меркурьева Лариса Александровна</cp:lastModifiedBy>
  <cp:revision>2</cp:revision>
  <dcterms:created xsi:type="dcterms:W3CDTF">2026-05-28T06:13:00Z</dcterms:created>
  <dcterms:modified xsi:type="dcterms:W3CDTF">2026-05-28T06:14:00Z</dcterms:modified>
</cp:coreProperties>
</file>